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B5" w:rsidRPr="00DD32B5" w:rsidRDefault="00DD32B5" w:rsidP="00DD32B5">
      <w:pPr>
        <w:spacing w:before="100" w:beforeAutospacing="1" w:after="100" w:afterAutospacing="1" w:line="240" w:lineRule="auto"/>
        <w:outlineLvl w:val="0"/>
        <w:rPr>
          <w:b/>
          <w:bCs/>
          <w:kern w:val="36"/>
          <w:sz w:val="48"/>
          <w:szCs w:val="48"/>
          <w:lang w:eastAsia="en-GB"/>
        </w:rPr>
      </w:pPr>
      <w:r w:rsidRPr="00DD32B5">
        <w:rPr>
          <w:b/>
          <w:bCs/>
          <w:kern w:val="36"/>
          <w:sz w:val="48"/>
          <w:szCs w:val="48"/>
          <w:lang w:eastAsia="en-GB"/>
        </w:rPr>
        <w:t xml:space="preserve">Modern Ireland in 100 Artworks: 1930 –High Treason, Court of Criminal Appeal: The Trial of Roger Casement, by Sir John Lavery </w:t>
      </w:r>
    </w:p>
    <w:p w:rsidR="00DD32B5" w:rsidRPr="00DD32B5" w:rsidRDefault="00DD32B5" w:rsidP="00DD32B5">
      <w:pPr>
        <w:spacing w:before="100" w:beforeAutospacing="1" w:after="100" w:afterAutospacing="1" w:line="240" w:lineRule="auto"/>
        <w:outlineLvl w:val="1"/>
        <w:rPr>
          <w:b/>
          <w:bCs/>
          <w:sz w:val="36"/>
          <w:szCs w:val="36"/>
          <w:lang w:eastAsia="en-GB"/>
        </w:rPr>
      </w:pPr>
      <w:r w:rsidRPr="00DD32B5">
        <w:rPr>
          <w:b/>
          <w:bCs/>
          <w:sz w:val="36"/>
          <w:szCs w:val="36"/>
          <w:lang w:eastAsia="en-GB"/>
        </w:rPr>
        <w:t xml:space="preserve">The society portraitist’s depiction of the moment Roger Casement was sentenced to death shows two countries’ opposed but intertwining histories </w:t>
      </w:r>
    </w:p>
    <w:p w:rsidR="00DD32B5" w:rsidRPr="00DD32B5" w:rsidRDefault="00DD32B5" w:rsidP="00DD32B5">
      <w:pPr>
        <w:spacing w:after="0" w:line="240" w:lineRule="auto"/>
        <w:rPr>
          <w:szCs w:val="24"/>
          <w:lang w:eastAsia="en-GB"/>
        </w:rPr>
      </w:pPr>
      <w:r w:rsidRPr="00DD32B5">
        <w:rPr>
          <w:noProof/>
          <w:szCs w:val="24"/>
          <w:lang w:eastAsia="en-GB"/>
        </w:rPr>
        <w:drawing>
          <wp:inline distT="0" distB="0" distL="0" distR="0" wp14:anchorId="48FAA821" wp14:editId="5310C30B">
            <wp:extent cx="5905500" cy="3147060"/>
            <wp:effectExtent l="0" t="0" r="0" b="0"/>
            <wp:docPr id="1" name="Picture 1" descr="Photograph:  © UK Government Art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 UK Government Art Colle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147060"/>
                    </a:xfrm>
                    <a:prstGeom prst="rect">
                      <a:avLst/>
                    </a:prstGeom>
                    <a:noFill/>
                    <a:ln>
                      <a:noFill/>
                    </a:ln>
                  </pic:spPr>
                </pic:pic>
              </a:graphicData>
            </a:graphic>
          </wp:inline>
        </w:drawing>
      </w:r>
    </w:p>
    <w:p w:rsidR="00DD32B5" w:rsidRPr="00DD32B5" w:rsidRDefault="00DD32B5" w:rsidP="00DD32B5">
      <w:pPr>
        <w:spacing w:before="100" w:beforeAutospacing="1" w:after="100" w:afterAutospacing="1" w:line="240" w:lineRule="auto"/>
        <w:rPr>
          <w:szCs w:val="24"/>
          <w:lang w:eastAsia="en-GB"/>
        </w:rPr>
      </w:pPr>
      <w:r w:rsidRPr="00DD32B5">
        <w:rPr>
          <w:szCs w:val="24"/>
          <w:lang w:eastAsia="en-GB"/>
        </w:rPr>
        <w:t>Photograph: © UK Government Art Collection</w:t>
      </w:r>
    </w:p>
    <w:p w:rsidR="00DD32B5" w:rsidRPr="00DD32B5" w:rsidRDefault="00DD32B5" w:rsidP="00DD32B5">
      <w:pPr>
        <w:spacing w:after="0" w:line="240" w:lineRule="auto"/>
        <w:rPr>
          <w:szCs w:val="24"/>
          <w:lang w:eastAsia="en-GB"/>
        </w:rPr>
      </w:pPr>
      <w:r w:rsidRPr="00DD32B5">
        <w:rPr>
          <w:szCs w:val="24"/>
          <w:lang w:eastAsia="en-GB"/>
        </w:rPr>
        <w:t xml:space="preserve">Fintan O'Toole, Catherine Marshall </w:t>
      </w:r>
    </w:p>
    <w:p w:rsidR="00DD32B5" w:rsidRPr="00DD32B5" w:rsidRDefault="00DD32B5" w:rsidP="00DD32B5">
      <w:pPr>
        <w:numPr>
          <w:ilvl w:val="0"/>
          <w:numId w:val="3"/>
        </w:numPr>
        <w:spacing w:before="100" w:beforeAutospacing="1" w:after="100" w:afterAutospacing="1" w:line="240" w:lineRule="auto"/>
        <w:rPr>
          <w:szCs w:val="24"/>
          <w:lang w:eastAsia="en-GB"/>
        </w:rPr>
      </w:pPr>
      <w:r w:rsidRPr="00DD32B5">
        <w:rPr>
          <w:b/>
          <w:bCs/>
          <w:szCs w:val="24"/>
          <w:lang w:eastAsia="en-GB"/>
        </w:rPr>
        <w:t>Topics:</w:t>
      </w:r>
    </w:p>
    <w:p w:rsidR="00DD32B5" w:rsidRPr="00DD32B5" w:rsidRDefault="00DD32B5" w:rsidP="00DD32B5">
      <w:pPr>
        <w:numPr>
          <w:ilvl w:val="0"/>
          <w:numId w:val="3"/>
        </w:numPr>
        <w:spacing w:before="100" w:beforeAutospacing="1" w:after="100" w:afterAutospacing="1" w:line="240" w:lineRule="auto"/>
        <w:rPr>
          <w:szCs w:val="24"/>
          <w:lang w:eastAsia="en-GB"/>
        </w:rPr>
      </w:pPr>
      <w:hyperlink r:id="rId7" w:history="1">
        <w:r w:rsidRPr="00DD32B5">
          <w:rPr>
            <w:color w:val="0000FF"/>
            <w:szCs w:val="24"/>
            <w:u w:val="single"/>
            <w:lang w:eastAsia="en-GB"/>
          </w:rPr>
          <w:t>Culture</w:t>
        </w:r>
      </w:hyperlink>
    </w:p>
    <w:p w:rsidR="00DD32B5" w:rsidRPr="00DD32B5" w:rsidRDefault="00DD32B5" w:rsidP="00DD32B5">
      <w:pPr>
        <w:spacing w:before="100" w:beforeAutospacing="1" w:after="100" w:afterAutospacing="1" w:line="240" w:lineRule="auto"/>
        <w:rPr>
          <w:szCs w:val="24"/>
          <w:lang w:eastAsia="en-GB"/>
        </w:rPr>
      </w:pPr>
      <w:hyperlink r:id="rId8" w:history="1">
        <w:r w:rsidRPr="00DD32B5">
          <w:rPr>
            <w:color w:val="0000FF"/>
            <w:szCs w:val="24"/>
            <w:u w:val="single"/>
            <w:lang w:eastAsia="en-GB"/>
          </w:rPr>
          <w:t>Sat, Feb 21, 2015, 01:00</w:t>
        </w:r>
      </w:hyperlink>
    </w:p>
    <w:p w:rsidR="00DD32B5" w:rsidRPr="00DD32B5" w:rsidRDefault="00DD32B5" w:rsidP="00DD32B5">
      <w:pPr>
        <w:spacing w:before="100" w:beforeAutospacing="1" w:after="100" w:afterAutospacing="1" w:line="240" w:lineRule="auto"/>
        <w:rPr>
          <w:szCs w:val="24"/>
          <w:lang w:eastAsia="en-GB"/>
        </w:rPr>
      </w:pPr>
      <w:r w:rsidRPr="00DD32B5">
        <w:rPr>
          <w:b/>
          <w:bCs/>
          <w:szCs w:val="24"/>
          <w:lang w:eastAsia="en-GB"/>
        </w:rPr>
        <w:t>First published:</w:t>
      </w:r>
      <w:r w:rsidRPr="00DD32B5">
        <w:rPr>
          <w:szCs w:val="24"/>
          <w:lang w:eastAsia="en-GB"/>
        </w:rPr>
        <w:t xml:space="preserve"> Sat, Feb 21, 2015, 01:00</w:t>
      </w:r>
    </w:p>
    <w:p w:rsidR="00DD32B5" w:rsidRPr="00DD32B5" w:rsidRDefault="00DD32B5" w:rsidP="00DD32B5">
      <w:pPr>
        <w:spacing w:before="100" w:beforeAutospacing="1" w:after="100" w:afterAutospacing="1" w:line="240" w:lineRule="auto"/>
        <w:rPr>
          <w:szCs w:val="24"/>
          <w:lang w:eastAsia="en-GB"/>
        </w:rPr>
      </w:pPr>
      <w:r w:rsidRPr="00DD32B5">
        <w:rPr>
          <w:szCs w:val="24"/>
          <w:lang w:eastAsia="en-GB"/>
        </w:rPr>
        <w:t xml:space="preserve">In July 1916, during his appeal against his death sentence for his role in the Easter Rising, Roger Casement wrote to his family, asking, “Who was the painter in the jury box?” </w:t>
      </w:r>
    </w:p>
    <w:p w:rsidR="00DD32B5" w:rsidRPr="00DD32B5" w:rsidRDefault="00DD32B5" w:rsidP="00DD32B5">
      <w:pPr>
        <w:spacing w:before="100" w:beforeAutospacing="1" w:after="100" w:afterAutospacing="1" w:line="240" w:lineRule="auto"/>
        <w:rPr>
          <w:szCs w:val="24"/>
          <w:lang w:eastAsia="en-GB"/>
        </w:rPr>
      </w:pPr>
      <w:r w:rsidRPr="00DD32B5">
        <w:rPr>
          <w:szCs w:val="24"/>
          <w:lang w:eastAsia="en-GB"/>
        </w:rPr>
        <w:t xml:space="preserve">The painter was a rather unlikely presence: Sir John Lavery, born into a Catholic family in Belfast, was renowned for his portraits of English high society, and his studio had been visited by royalty. He had been invited to record the appeal trial by the presiding judge, Sir Charles Darling, a former client of his. Yet, as Casement noted, the painter “came perilously near aiding and comforting” the prisoner in the way he “eyed Mr Justice Darling’s delivery” of the verdict confirming the death sentence. Casement also noted that Lavery’s wife, Hazel, looked “very sad” at the same moment. </w:t>
      </w:r>
      <w:r w:rsidRPr="00DD32B5">
        <w:rPr>
          <w:szCs w:val="24"/>
          <w:lang w:eastAsia="en-GB"/>
        </w:rPr>
        <w:lastRenderedPageBreak/>
        <w:t>The uneasy relationship between Lavery’s position as part of the imperial artistic establishment and his growing sympathies with Irish nationalism would produce a painting at once monumental and hard to place.</w:t>
      </w:r>
    </w:p>
    <w:p w:rsidR="00DD32B5" w:rsidRPr="00DD32B5" w:rsidRDefault="00DD32B5" w:rsidP="00DD32B5">
      <w:pPr>
        <w:spacing w:before="100" w:beforeAutospacing="1" w:after="100" w:afterAutospacing="1" w:line="240" w:lineRule="auto"/>
        <w:rPr>
          <w:szCs w:val="24"/>
          <w:lang w:eastAsia="en-GB"/>
        </w:rPr>
      </w:pPr>
      <w:r w:rsidRPr="00DD32B5">
        <w:rPr>
          <w:szCs w:val="24"/>
          <w:lang w:eastAsia="en-GB"/>
        </w:rPr>
        <w:t xml:space="preserve">Lavery’s record of this moment in history is literally the work of an insider: it is possible only because Lavery was respectable enough to be given privileged access to the trial. Lavery later claimed that Darling had commissioned the work. Yet the result is not the grand image of imperial justice that might have been intended. The conventions of the genre are honoured in the large scale – three metres wide and two metres high – and the meticulous portraits of dozens of individuals. A sense of dramatic moment is created by the slanting light and by the clock that approaches the fatal hour of 12. </w:t>
      </w:r>
    </w:p>
    <w:p w:rsidR="00DD32B5" w:rsidRPr="00DD32B5" w:rsidRDefault="00DD32B5" w:rsidP="00DD32B5">
      <w:pPr>
        <w:spacing w:before="100" w:beforeAutospacing="1" w:after="100" w:afterAutospacing="1" w:line="240" w:lineRule="auto"/>
        <w:rPr>
          <w:szCs w:val="24"/>
          <w:lang w:eastAsia="en-GB"/>
        </w:rPr>
      </w:pPr>
      <w:r w:rsidRPr="00DD32B5">
        <w:rPr>
          <w:szCs w:val="24"/>
          <w:lang w:eastAsia="en-GB"/>
        </w:rPr>
        <w:t xml:space="preserve">But the judges are almost statuesque. All the animation is given to Casement’s defence counsel. And the centre of the picture is occupied by Casement himself, who seems simple and human amid the pomp. He looks not at his judges but at the viewer. This is to be the judgment not of a mere court but of history. </w:t>
      </w:r>
    </w:p>
    <w:p w:rsidR="00DD32B5" w:rsidRPr="00DD32B5" w:rsidRDefault="00DD32B5" w:rsidP="00DD32B5">
      <w:pPr>
        <w:spacing w:before="100" w:beforeAutospacing="1" w:after="100" w:afterAutospacing="1" w:line="240" w:lineRule="auto"/>
        <w:rPr>
          <w:szCs w:val="24"/>
          <w:lang w:eastAsia="en-GB"/>
        </w:rPr>
      </w:pPr>
      <w:r w:rsidRPr="00DD32B5">
        <w:rPr>
          <w:szCs w:val="24"/>
          <w:lang w:eastAsia="en-GB"/>
        </w:rPr>
        <w:t xml:space="preserve">This ambivalence marked the fate of the painting itself. Lavery did not complete it until the 1930s. If Darling commissioned it he did not pay for it: it remained in Lavery’s studio until his death, in 1941. The painter left it in his will to the National Portrait Gallery, in London, and the Royal Courts of Justice, but neither institution especially wanted it. After years in storage at the NPG it was hung in the office of the senior clerk of the court of criminal appeal in London, removed from the public gaze, for fear of arousing the wrong kind of attention from “people who considered Casement a martyr”. </w:t>
      </w:r>
    </w:p>
    <w:p w:rsidR="00DD32B5" w:rsidRPr="00DD32B5" w:rsidRDefault="00DD32B5" w:rsidP="00DD32B5">
      <w:pPr>
        <w:spacing w:before="100" w:beforeAutospacing="1" w:after="100" w:afterAutospacing="1" w:line="240" w:lineRule="auto"/>
        <w:rPr>
          <w:szCs w:val="24"/>
          <w:lang w:eastAsia="en-GB"/>
        </w:rPr>
      </w:pPr>
      <w:r w:rsidRPr="00DD32B5">
        <w:rPr>
          <w:szCs w:val="24"/>
          <w:lang w:eastAsia="en-GB"/>
        </w:rPr>
        <w:t xml:space="preserve">The painting was lent to the </w:t>
      </w:r>
      <w:proofErr w:type="spellStart"/>
      <w:r w:rsidRPr="00DD32B5">
        <w:rPr>
          <w:szCs w:val="24"/>
          <w:lang w:eastAsia="en-GB"/>
        </w:rPr>
        <w:t>Honorable</w:t>
      </w:r>
      <w:proofErr w:type="spellEnd"/>
      <w:r w:rsidRPr="00DD32B5">
        <w:rPr>
          <w:szCs w:val="24"/>
          <w:lang w:eastAsia="en-GB"/>
        </w:rPr>
        <w:t xml:space="preserve"> Society of King’s Inns, in Dublin, in 1951. The message from the </w:t>
      </w:r>
      <w:proofErr w:type="gramStart"/>
      <w:r w:rsidRPr="00DD32B5">
        <w:rPr>
          <w:szCs w:val="24"/>
          <w:lang w:eastAsia="en-GB"/>
        </w:rPr>
        <w:t>lord chancellor’s</w:t>
      </w:r>
      <w:proofErr w:type="gramEnd"/>
      <w:r w:rsidRPr="00DD32B5">
        <w:rPr>
          <w:szCs w:val="24"/>
          <w:lang w:eastAsia="en-GB"/>
        </w:rPr>
        <w:t xml:space="preserve"> office accompanying the loan said, “We can adopt the suggestion of lending it to the King’s Inns on indefinite loan, which means that we can forget to ask for its return.”</w:t>
      </w:r>
    </w:p>
    <w:p w:rsidR="00DD32B5" w:rsidRPr="00DD32B5" w:rsidRDefault="00DD32B5" w:rsidP="00DD32B5">
      <w:pPr>
        <w:spacing w:before="100" w:beforeAutospacing="1" w:after="100" w:afterAutospacing="1" w:line="240" w:lineRule="auto"/>
        <w:rPr>
          <w:szCs w:val="24"/>
          <w:lang w:eastAsia="en-GB"/>
        </w:rPr>
      </w:pPr>
      <w:r w:rsidRPr="00DD32B5">
        <w:rPr>
          <w:szCs w:val="24"/>
          <w:lang w:eastAsia="en-GB"/>
        </w:rPr>
        <w:t xml:space="preserve">Yet Lavery surely knew what he was doing when he left </w:t>
      </w:r>
      <w:r w:rsidRPr="00DD32B5">
        <w:rPr>
          <w:i/>
          <w:iCs/>
          <w:szCs w:val="24"/>
          <w:lang w:eastAsia="en-GB"/>
        </w:rPr>
        <w:t xml:space="preserve">High Treason </w:t>
      </w:r>
      <w:r w:rsidRPr="00DD32B5">
        <w:rPr>
          <w:szCs w:val="24"/>
          <w:lang w:eastAsia="en-GB"/>
        </w:rPr>
        <w:t>to British institutions in his will. For what he had produced was not an Irish painting or a British one but an image of two histories intertwined and at odds.</w:t>
      </w:r>
    </w:p>
    <w:p w:rsidR="00406BD1" w:rsidRDefault="00DD32B5" w:rsidP="00DD32B5">
      <w:pPr>
        <w:spacing w:before="100" w:beforeAutospacing="1" w:after="100" w:afterAutospacing="1" w:line="240" w:lineRule="auto"/>
        <w:rPr>
          <w:i/>
          <w:iCs/>
          <w:szCs w:val="24"/>
          <w:lang w:eastAsia="en-GB"/>
        </w:rPr>
      </w:pPr>
      <w:r w:rsidRPr="00DD32B5">
        <w:rPr>
          <w:i/>
          <w:iCs/>
          <w:szCs w:val="24"/>
          <w:lang w:eastAsia="en-GB"/>
        </w:rPr>
        <w:t xml:space="preserve">You can read more about this week’s artwork in the Royal Irish Academy’s </w:t>
      </w:r>
      <w:r w:rsidRPr="00DD32B5">
        <w:rPr>
          <w:szCs w:val="24"/>
          <w:lang w:eastAsia="en-GB"/>
        </w:rPr>
        <w:t>Dictionary of Irish Biography</w:t>
      </w:r>
      <w:r w:rsidRPr="00DD32B5">
        <w:rPr>
          <w:i/>
          <w:iCs/>
          <w:szCs w:val="24"/>
          <w:lang w:eastAsia="en-GB"/>
        </w:rPr>
        <w:t>; see ria.ie</w:t>
      </w:r>
    </w:p>
    <w:bookmarkStart w:id="0" w:name="_GoBack"/>
    <w:p w:rsidR="00406BD1" w:rsidRDefault="00406BD1" w:rsidP="00DD32B5">
      <w:pPr>
        <w:spacing w:before="100" w:beforeAutospacing="1" w:after="100" w:afterAutospacing="1" w:line="240" w:lineRule="auto"/>
        <w:rPr>
          <w:szCs w:val="24"/>
          <w:lang w:eastAsia="en-GB"/>
        </w:rPr>
      </w:pPr>
      <w:r>
        <w:rPr>
          <w:szCs w:val="24"/>
          <w:lang w:eastAsia="en-GB"/>
        </w:rPr>
        <w:fldChar w:fldCharType="begin"/>
      </w:r>
      <w:r>
        <w:rPr>
          <w:szCs w:val="24"/>
          <w:lang w:eastAsia="en-GB"/>
        </w:rPr>
        <w:instrText xml:space="preserve"> HYPERLINK "</w:instrText>
      </w:r>
      <w:r w:rsidRPr="00406BD1">
        <w:rPr>
          <w:szCs w:val="24"/>
          <w:lang w:eastAsia="en-GB"/>
        </w:rPr>
        <w:instrText>http://www.irishtimes.com/culture/modern-ireland-in-100-artworks-1930-high-treason-court-of-criminal-appeal-the-trial-of-roger-casement-by-sir-john-lavery-1.2109749</w:instrText>
      </w:r>
      <w:r>
        <w:rPr>
          <w:szCs w:val="24"/>
          <w:lang w:eastAsia="en-GB"/>
        </w:rPr>
        <w:instrText xml:space="preserve">" </w:instrText>
      </w:r>
      <w:r>
        <w:rPr>
          <w:szCs w:val="24"/>
          <w:lang w:eastAsia="en-GB"/>
        </w:rPr>
        <w:fldChar w:fldCharType="separate"/>
      </w:r>
      <w:r w:rsidRPr="00367326">
        <w:rPr>
          <w:rStyle w:val="Hyperlink"/>
          <w:szCs w:val="24"/>
          <w:lang w:eastAsia="en-GB"/>
        </w:rPr>
        <w:t>http://www.irishtimes.com/culture/modern-ireland-in-100-artworks-1930-high-treason-court-of-criminal-appeal-the-trial-of-roger-casement-by-sir-john-lavery-1.2109749</w:t>
      </w:r>
      <w:r>
        <w:rPr>
          <w:szCs w:val="24"/>
          <w:lang w:eastAsia="en-GB"/>
        </w:rPr>
        <w:fldChar w:fldCharType="end"/>
      </w:r>
    </w:p>
    <w:bookmarkEnd w:id="0"/>
    <w:p w:rsidR="00406BD1" w:rsidRPr="00DD32B5" w:rsidRDefault="00406BD1" w:rsidP="00DD32B5">
      <w:pPr>
        <w:spacing w:before="100" w:beforeAutospacing="1" w:after="100" w:afterAutospacing="1" w:line="240" w:lineRule="auto"/>
        <w:rPr>
          <w:szCs w:val="24"/>
          <w:lang w:eastAsia="en-GB"/>
        </w:rPr>
      </w:pPr>
    </w:p>
    <w:sectPr w:rsidR="00406BD1" w:rsidRPr="00DD32B5"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5BF"/>
    <w:multiLevelType w:val="multilevel"/>
    <w:tmpl w:val="D7FA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D10D0"/>
    <w:multiLevelType w:val="multilevel"/>
    <w:tmpl w:val="607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42722"/>
    <w:multiLevelType w:val="multilevel"/>
    <w:tmpl w:val="1FE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20054"/>
    <w:multiLevelType w:val="multilevel"/>
    <w:tmpl w:val="77B4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EF64D4"/>
    <w:multiLevelType w:val="multilevel"/>
    <w:tmpl w:val="DB36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9F"/>
    <w:rsid w:val="00004D9F"/>
    <w:rsid w:val="00406BD1"/>
    <w:rsid w:val="00427013"/>
    <w:rsid w:val="00492B51"/>
    <w:rsid w:val="00591367"/>
    <w:rsid w:val="00757ABE"/>
    <w:rsid w:val="007A2B43"/>
    <w:rsid w:val="008C43D8"/>
    <w:rsid w:val="008F245B"/>
    <w:rsid w:val="00BE1BA4"/>
    <w:rsid w:val="00D83D08"/>
    <w:rsid w:val="00DD3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B5"/>
    <w:rPr>
      <w:rFonts w:ascii="Tahoma" w:hAnsi="Tahoma" w:cs="Tahoma"/>
      <w:sz w:val="16"/>
      <w:szCs w:val="16"/>
    </w:rPr>
  </w:style>
  <w:style w:type="character" w:styleId="Hyperlink">
    <w:name w:val="Hyperlink"/>
    <w:basedOn w:val="DefaultParagraphFont"/>
    <w:uiPriority w:val="99"/>
    <w:unhideWhenUsed/>
    <w:rsid w:val="00406B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B5"/>
    <w:rPr>
      <w:rFonts w:ascii="Tahoma" w:hAnsi="Tahoma" w:cs="Tahoma"/>
      <w:sz w:val="16"/>
      <w:szCs w:val="16"/>
    </w:rPr>
  </w:style>
  <w:style w:type="character" w:styleId="Hyperlink">
    <w:name w:val="Hyperlink"/>
    <w:basedOn w:val="DefaultParagraphFont"/>
    <w:uiPriority w:val="99"/>
    <w:unhideWhenUsed/>
    <w:rsid w:val="00406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40289">
      <w:bodyDiv w:val="1"/>
      <w:marLeft w:val="0"/>
      <w:marRight w:val="0"/>
      <w:marTop w:val="0"/>
      <w:marBottom w:val="0"/>
      <w:divBdr>
        <w:top w:val="none" w:sz="0" w:space="0" w:color="auto"/>
        <w:left w:val="none" w:sz="0" w:space="0" w:color="auto"/>
        <w:bottom w:val="none" w:sz="0" w:space="0" w:color="auto"/>
        <w:right w:val="none" w:sz="0" w:space="0" w:color="auto"/>
      </w:divBdr>
      <w:divsChild>
        <w:div w:id="43679009">
          <w:marLeft w:val="0"/>
          <w:marRight w:val="0"/>
          <w:marTop w:val="0"/>
          <w:marBottom w:val="0"/>
          <w:divBdr>
            <w:top w:val="none" w:sz="0" w:space="0" w:color="auto"/>
            <w:left w:val="none" w:sz="0" w:space="0" w:color="auto"/>
            <w:bottom w:val="none" w:sz="0" w:space="0" w:color="auto"/>
            <w:right w:val="none" w:sz="0" w:space="0" w:color="auto"/>
          </w:divBdr>
          <w:divsChild>
            <w:div w:id="447050868">
              <w:marLeft w:val="0"/>
              <w:marRight w:val="0"/>
              <w:marTop w:val="0"/>
              <w:marBottom w:val="0"/>
              <w:divBdr>
                <w:top w:val="none" w:sz="0" w:space="0" w:color="auto"/>
                <w:left w:val="none" w:sz="0" w:space="0" w:color="auto"/>
                <w:bottom w:val="none" w:sz="0" w:space="0" w:color="auto"/>
                <w:right w:val="none" w:sz="0" w:space="0" w:color="auto"/>
              </w:divBdr>
              <w:divsChild>
                <w:div w:id="1237932376">
                  <w:marLeft w:val="0"/>
                  <w:marRight w:val="0"/>
                  <w:marTop w:val="0"/>
                  <w:marBottom w:val="0"/>
                  <w:divBdr>
                    <w:top w:val="none" w:sz="0" w:space="0" w:color="auto"/>
                    <w:left w:val="none" w:sz="0" w:space="0" w:color="auto"/>
                    <w:bottom w:val="none" w:sz="0" w:space="0" w:color="auto"/>
                    <w:right w:val="none" w:sz="0" w:space="0" w:color="auto"/>
                  </w:divBdr>
                </w:div>
              </w:divsChild>
            </w:div>
            <w:div w:id="1106727348">
              <w:marLeft w:val="0"/>
              <w:marRight w:val="0"/>
              <w:marTop w:val="0"/>
              <w:marBottom w:val="0"/>
              <w:divBdr>
                <w:top w:val="none" w:sz="0" w:space="0" w:color="auto"/>
                <w:left w:val="none" w:sz="0" w:space="0" w:color="auto"/>
                <w:bottom w:val="none" w:sz="0" w:space="0" w:color="auto"/>
                <w:right w:val="none" w:sz="0" w:space="0" w:color="auto"/>
              </w:divBdr>
            </w:div>
          </w:divsChild>
        </w:div>
        <w:div w:id="1319462997">
          <w:marLeft w:val="0"/>
          <w:marRight w:val="0"/>
          <w:marTop w:val="0"/>
          <w:marBottom w:val="0"/>
          <w:divBdr>
            <w:top w:val="none" w:sz="0" w:space="0" w:color="auto"/>
            <w:left w:val="none" w:sz="0" w:space="0" w:color="auto"/>
            <w:bottom w:val="none" w:sz="0" w:space="0" w:color="auto"/>
            <w:right w:val="none" w:sz="0" w:space="0" w:color="auto"/>
          </w:divBdr>
          <w:divsChild>
            <w:div w:id="1221551372">
              <w:marLeft w:val="0"/>
              <w:marRight w:val="0"/>
              <w:marTop w:val="0"/>
              <w:marBottom w:val="0"/>
              <w:divBdr>
                <w:top w:val="none" w:sz="0" w:space="0" w:color="auto"/>
                <w:left w:val="none" w:sz="0" w:space="0" w:color="auto"/>
                <w:bottom w:val="none" w:sz="0" w:space="0" w:color="auto"/>
                <w:right w:val="none" w:sz="0" w:space="0" w:color="auto"/>
              </w:divBdr>
              <w:divsChild>
                <w:div w:id="451562263">
                  <w:marLeft w:val="0"/>
                  <w:marRight w:val="0"/>
                  <w:marTop w:val="0"/>
                  <w:marBottom w:val="0"/>
                  <w:divBdr>
                    <w:top w:val="none" w:sz="0" w:space="0" w:color="auto"/>
                    <w:left w:val="none" w:sz="0" w:space="0" w:color="auto"/>
                    <w:bottom w:val="none" w:sz="0" w:space="0" w:color="auto"/>
                    <w:right w:val="none" w:sz="0" w:space="0" w:color="auto"/>
                  </w:divBdr>
                </w:div>
              </w:divsChild>
            </w:div>
            <w:div w:id="16528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040">
      <w:bodyDiv w:val="1"/>
      <w:marLeft w:val="0"/>
      <w:marRight w:val="0"/>
      <w:marTop w:val="0"/>
      <w:marBottom w:val="0"/>
      <w:divBdr>
        <w:top w:val="none" w:sz="0" w:space="0" w:color="auto"/>
        <w:left w:val="none" w:sz="0" w:space="0" w:color="auto"/>
        <w:bottom w:val="none" w:sz="0" w:space="0" w:color="auto"/>
        <w:right w:val="none" w:sz="0" w:space="0" w:color="auto"/>
      </w:divBdr>
      <w:divsChild>
        <w:div w:id="160701660">
          <w:marLeft w:val="0"/>
          <w:marRight w:val="0"/>
          <w:marTop w:val="0"/>
          <w:marBottom w:val="0"/>
          <w:divBdr>
            <w:top w:val="none" w:sz="0" w:space="0" w:color="auto"/>
            <w:left w:val="none" w:sz="0" w:space="0" w:color="auto"/>
            <w:bottom w:val="none" w:sz="0" w:space="0" w:color="auto"/>
            <w:right w:val="none" w:sz="0" w:space="0" w:color="auto"/>
          </w:divBdr>
          <w:divsChild>
            <w:div w:id="269552658">
              <w:marLeft w:val="0"/>
              <w:marRight w:val="0"/>
              <w:marTop w:val="0"/>
              <w:marBottom w:val="0"/>
              <w:divBdr>
                <w:top w:val="none" w:sz="0" w:space="0" w:color="auto"/>
                <w:left w:val="none" w:sz="0" w:space="0" w:color="auto"/>
                <w:bottom w:val="none" w:sz="0" w:space="0" w:color="auto"/>
                <w:right w:val="none" w:sz="0" w:space="0" w:color="auto"/>
              </w:divBdr>
            </w:div>
          </w:divsChild>
        </w:div>
        <w:div w:id="213084053">
          <w:marLeft w:val="0"/>
          <w:marRight w:val="0"/>
          <w:marTop w:val="0"/>
          <w:marBottom w:val="0"/>
          <w:divBdr>
            <w:top w:val="none" w:sz="0" w:space="0" w:color="auto"/>
            <w:left w:val="none" w:sz="0" w:space="0" w:color="auto"/>
            <w:bottom w:val="none" w:sz="0" w:space="0" w:color="auto"/>
            <w:right w:val="none" w:sz="0" w:space="0" w:color="auto"/>
          </w:divBdr>
          <w:divsChild>
            <w:div w:id="229198380">
              <w:marLeft w:val="0"/>
              <w:marRight w:val="0"/>
              <w:marTop w:val="0"/>
              <w:marBottom w:val="0"/>
              <w:divBdr>
                <w:top w:val="none" w:sz="0" w:space="0" w:color="auto"/>
                <w:left w:val="none" w:sz="0" w:space="0" w:color="auto"/>
                <w:bottom w:val="none" w:sz="0" w:space="0" w:color="auto"/>
                <w:right w:val="none" w:sz="0" w:space="0" w:color="auto"/>
              </w:divBdr>
              <w:divsChild>
                <w:div w:id="2144039855">
                  <w:marLeft w:val="0"/>
                  <w:marRight w:val="0"/>
                  <w:marTop w:val="0"/>
                  <w:marBottom w:val="0"/>
                  <w:divBdr>
                    <w:top w:val="none" w:sz="0" w:space="0" w:color="auto"/>
                    <w:left w:val="none" w:sz="0" w:space="0" w:color="auto"/>
                    <w:bottom w:val="none" w:sz="0" w:space="0" w:color="auto"/>
                    <w:right w:val="none" w:sz="0" w:space="0" w:color="auto"/>
                  </w:divBdr>
                  <w:divsChild>
                    <w:div w:id="633488015">
                      <w:marLeft w:val="0"/>
                      <w:marRight w:val="0"/>
                      <w:marTop w:val="0"/>
                      <w:marBottom w:val="0"/>
                      <w:divBdr>
                        <w:top w:val="none" w:sz="0" w:space="0" w:color="auto"/>
                        <w:left w:val="none" w:sz="0" w:space="0" w:color="auto"/>
                        <w:bottom w:val="none" w:sz="0" w:space="0" w:color="auto"/>
                        <w:right w:val="none" w:sz="0" w:space="0" w:color="auto"/>
                      </w:divBdr>
                    </w:div>
                  </w:divsChild>
                </w:div>
                <w:div w:id="952322934">
                  <w:marLeft w:val="0"/>
                  <w:marRight w:val="0"/>
                  <w:marTop w:val="0"/>
                  <w:marBottom w:val="0"/>
                  <w:divBdr>
                    <w:top w:val="none" w:sz="0" w:space="0" w:color="auto"/>
                    <w:left w:val="none" w:sz="0" w:space="0" w:color="auto"/>
                    <w:bottom w:val="none" w:sz="0" w:space="0" w:color="auto"/>
                    <w:right w:val="none" w:sz="0" w:space="0" w:color="auto"/>
                  </w:divBdr>
                </w:div>
              </w:divsChild>
            </w:div>
            <w:div w:id="1703893259">
              <w:marLeft w:val="0"/>
              <w:marRight w:val="0"/>
              <w:marTop w:val="0"/>
              <w:marBottom w:val="0"/>
              <w:divBdr>
                <w:top w:val="none" w:sz="0" w:space="0" w:color="auto"/>
                <w:left w:val="none" w:sz="0" w:space="0" w:color="auto"/>
                <w:bottom w:val="none" w:sz="0" w:space="0" w:color="auto"/>
                <w:right w:val="none" w:sz="0" w:space="0" w:color="auto"/>
              </w:divBdr>
              <w:divsChild>
                <w:div w:id="91098000">
                  <w:marLeft w:val="0"/>
                  <w:marRight w:val="0"/>
                  <w:marTop w:val="0"/>
                  <w:marBottom w:val="0"/>
                  <w:divBdr>
                    <w:top w:val="none" w:sz="0" w:space="0" w:color="auto"/>
                    <w:left w:val="none" w:sz="0" w:space="0" w:color="auto"/>
                    <w:bottom w:val="none" w:sz="0" w:space="0" w:color="auto"/>
                    <w:right w:val="none" w:sz="0" w:space="0" w:color="auto"/>
                  </w:divBdr>
                  <w:divsChild>
                    <w:div w:id="557013015">
                      <w:marLeft w:val="0"/>
                      <w:marRight w:val="0"/>
                      <w:marTop w:val="0"/>
                      <w:marBottom w:val="0"/>
                      <w:divBdr>
                        <w:top w:val="none" w:sz="0" w:space="0" w:color="auto"/>
                        <w:left w:val="none" w:sz="0" w:space="0" w:color="auto"/>
                        <w:bottom w:val="none" w:sz="0" w:space="0" w:color="auto"/>
                        <w:right w:val="none" w:sz="0" w:space="0" w:color="auto"/>
                      </w:divBdr>
                    </w:div>
                  </w:divsChild>
                </w:div>
                <w:div w:id="288784249">
                  <w:marLeft w:val="0"/>
                  <w:marRight w:val="0"/>
                  <w:marTop w:val="0"/>
                  <w:marBottom w:val="0"/>
                  <w:divBdr>
                    <w:top w:val="none" w:sz="0" w:space="0" w:color="auto"/>
                    <w:left w:val="none" w:sz="0" w:space="0" w:color="auto"/>
                    <w:bottom w:val="none" w:sz="0" w:space="0" w:color="auto"/>
                    <w:right w:val="none" w:sz="0" w:space="0" w:color="auto"/>
                  </w:divBdr>
                </w:div>
              </w:divsChild>
            </w:div>
            <w:div w:id="1885555294">
              <w:marLeft w:val="0"/>
              <w:marRight w:val="0"/>
              <w:marTop w:val="0"/>
              <w:marBottom w:val="0"/>
              <w:divBdr>
                <w:top w:val="none" w:sz="0" w:space="0" w:color="auto"/>
                <w:left w:val="none" w:sz="0" w:space="0" w:color="auto"/>
                <w:bottom w:val="none" w:sz="0" w:space="0" w:color="auto"/>
                <w:right w:val="none" w:sz="0" w:space="0" w:color="auto"/>
              </w:divBdr>
              <w:divsChild>
                <w:div w:id="1933472482">
                  <w:marLeft w:val="0"/>
                  <w:marRight w:val="0"/>
                  <w:marTop w:val="0"/>
                  <w:marBottom w:val="0"/>
                  <w:divBdr>
                    <w:top w:val="none" w:sz="0" w:space="0" w:color="auto"/>
                    <w:left w:val="none" w:sz="0" w:space="0" w:color="auto"/>
                    <w:bottom w:val="none" w:sz="0" w:space="0" w:color="auto"/>
                    <w:right w:val="none" w:sz="0" w:space="0" w:color="auto"/>
                  </w:divBdr>
                  <w:divsChild>
                    <w:div w:id="2070153590">
                      <w:marLeft w:val="0"/>
                      <w:marRight w:val="0"/>
                      <w:marTop w:val="0"/>
                      <w:marBottom w:val="0"/>
                      <w:divBdr>
                        <w:top w:val="none" w:sz="0" w:space="0" w:color="auto"/>
                        <w:left w:val="none" w:sz="0" w:space="0" w:color="auto"/>
                        <w:bottom w:val="none" w:sz="0" w:space="0" w:color="auto"/>
                        <w:right w:val="none" w:sz="0" w:space="0" w:color="auto"/>
                      </w:divBdr>
                      <w:divsChild>
                        <w:div w:id="178396292">
                          <w:marLeft w:val="0"/>
                          <w:marRight w:val="0"/>
                          <w:marTop w:val="0"/>
                          <w:marBottom w:val="0"/>
                          <w:divBdr>
                            <w:top w:val="none" w:sz="0" w:space="0" w:color="auto"/>
                            <w:left w:val="none" w:sz="0" w:space="0" w:color="auto"/>
                            <w:bottom w:val="none" w:sz="0" w:space="0" w:color="auto"/>
                            <w:right w:val="none" w:sz="0" w:space="0" w:color="auto"/>
                          </w:divBdr>
                        </w:div>
                      </w:divsChild>
                    </w:div>
                    <w:div w:id="7204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times.com/culture/modern-ireland-in-100-artworks-1930-high-treason-court-of-criminal-appeal-the-trial-of-roger-casement-by-sir-john-lavery-1.2109749" TargetMode="External"/><Relationship Id="rId3" Type="http://schemas.microsoft.com/office/2007/relationships/stylesWithEffects" Target="stylesWithEffects.xml"/><Relationship Id="rId7" Type="http://schemas.openxmlformats.org/officeDocument/2006/relationships/hyperlink" Target="http://www.irishtimes.com/cul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2015-02-22T00:03:00Z</dcterms:created>
  <dcterms:modified xsi:type="dcterms:W3CDTF">2015-02-22T00:42:00Z</dcterms:modified>
</cp:coreProperties>
</file>