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387" w:rsidRDefault="00131387" w:rsidP="00131387">
      <w:pPr>
        <w:spacing w:before="100" w:beforeAutospacing="1" w:after="100" w:afterAutospacing="1" w:line="240" w:lineRule="auto"/>
        <w:outlineLvl w:val="1"/>
        <w:rPr>
          <w:b/>
          <w:bCs/>
          <w:sz w:val="36"/>
          <w:szCs w:val="36"/>
          <w:lang w:eastAsia="en-GB"/>
        </w:rPr>
      </w:pPr>
      <w:r>
        <w:rPr>
          <w:b/>
          <w:bCs/>
          <w:sz w:val="36"/>
          <w:szCs w:val="36"/>
          <w:lang w:eastAsia="en-GB"/>
        </w:rPr>
        <w:t>NEW YORK REVIEW OF BOOKS</w:t>
      </w:r>
    </w:p>
    <w:p w:rsidR="00131387" w:rsidRPr="00131387" w:rsidRDefault="00131387" w:rsidP="00131387">
      <w:pPr>
        <w:spacing w:before="100" w:beforeAutospacing="1" w:after="100" w:afterAutospacing="1" w:line="240" w:lineRule="auto"/>
        <w:outlineLvl w:val="1"/>
        <w:rPr>
          <w:b/>
          <w:bCs/>
          <w:sz w:val="36"/>
          <w:szCs w:val="36"/>
          <w:lang w:eastAsia="en-GB"/>
        </w:rPr>
      </w:pPr>
      <w:r w:rsidRPr="00131387">
        <w:rPr>
          <w:b/>
          <w:bCs/>
          <w:sz w:val="36"/>
          <w:szCs w:val="36"/>
          <w:lang w:eastAsia="en-GB"/>
        </w:rPr>
        <w:t>Rebel, Hero, Martyr</w:t>
      </w:r>
    </w:p>
    <w:p w:rsidR="00131387" w:rsidRPr="00131387" w:rsidRDefault="00811194" w:rsidP="00131387">
      <w:pPr>
        <w:spacing w:before="100" w:beforeAutospacing="1" w:after="100" w:afterAutospacing="1" w:line="240" w:lineRule="auto"/>
        <w:outlineLvl w:val="4"/>
        <w:rPr>
          <w:b/>
          <w:bCs/>
          <w:sz w:val="20"/>
          <w:lang w:eastAsia="en-GB"/>
        </w:rPr>
      </w:pPr>
      <w:hyperlink r:id="rId6" w:history="1">
        <w:r w:rsidR="00131387" w:rsidRPr="00131387">
          <w:rPr>
            <w:b/>
            <w:bCs/>
            <w:color w:val="0000FF"/>
            <w:sz w:val="20"/>
            <w:u w:val="single"/>
            <w:lang w:eastAsia="en-GB"/>
          </w:rPr>
          <w:t>October 25, 2012</w:t>
        </w:r>
      </w:hyperlink>
    </w:p>
    <w:p w:rsidR="00131387" w:rsidRPr="00131387" w:rsidRDefault="00811194" w:rsidP="00131387">
      <w:pPr>
        <w:spacing w:before="100" w:beforeAutospacing="1" w:after="100" w:afterAutospacing="1" w:line="240" w:lineRule="auto"/>
        <w:outlineLvl w:val="2"/>
        <w:rPr>
          <w:b/>
          <w:bCs/>
          <w:sz w:val="27"/>
          <w:szCs w:val="27"/>
          <w:lang w:eastAsia="en-GB"/>
        </w:rPr>
      </w:pPr>
      <w:hyperlink r:id="rId7" w:history="1">
        <w:r w:rsidR="00131387" w:rsidRPr="00131387">
          <w:rPr>
            <w:b/>
            <w:bCs/>
            <w:color w:val="0000FF"/>
            <w:sz w:val="27"/>
            <w:szCs w:val="27"/>
            <w:u w:val="single"/>
            <w:lang w:eastAsia="en-GB"/>
          </w:rPr>
          <w:t>John Banville</w:t>
        </w:r>
      </w:hyperlink>
    </w:p>
    <w:p w:rsidR="00131387" w:rsidRPr="00131387" w:rsidRDefault="00811194" w:rsidP="00131387">
      <w:pPr>
        <w:spacing w:before="100" w:beforeAutospacing="1" w:after="100" w:afterAutospacing="1" w:line="240" w:lineRule="auto"/>
        <w:rPr>
          <w:szCs w:val="24"/>
          <w:lang w:eastAsia="en-GB"/>
        </w:rPr>
      </w:pPr>
      <w:hyperlink r:id="rId8" w:tgtFrame="_blank" w:history="1">
        <w:r w:rsidR="00131387" w:rsidRPr="00131387">
          <w:rPr>
            <w:i/>
            <w:iCs/>
            <w:color w:val="0000FF"/>
            <w:szCs w:val="24"/>
            <w:u w:val="single"/>
            <w:lang w:eastAsia="en-GB"/>
          </w:rPr>
          <w:t>The Dream of the Celt</w:t>
        </w:r>
      </w:hyperlink>
      <w:r w:rsidR="00131387" w:rsidRPr="00131387">
        <w:rPr>
          <w:i/>
          <w:iCs/>
          <w:noProof/>
          <w:szCs w:val="24"/>
          <w:lang w:eastAsia="en-GB"/>
        </w:rPr>
        <w:drawing>
          <wp:inline distT="0" distB="0" distL="0" distR="0" wp14:anchorId="76E646A0" wp14:editId="7B3070CA">
            <wp:extent cx="7620" cy="7620"/>
            <wp:effectExtent l="0" t="0" r="0" b="0"/>
            <wp:docPr id="2" name="Picture 2" descr="http://www.assoc-amazon.com/e/ir?t=thneyoreofbo-20&amp;l=as2&amp;o=1&amp;a=03741434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www.assoc-amazon.com/e/ir?t=thneyoreofbo-20&amp;l=as2&amp;o=1&amp;a=037414346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00131387" w:rsidRPr="00131387">
        <w:rPr>
          <w:i/>
          <w:iCs/>
          <w:szCs w:val="24"/>
          <w:lang w:eastAsia="en-GB"/>
        </w:rPr>
        <w:t xml:space="preserve"> </w:t>
      </w:r>
      <w:r w:rsidR="00131387" w:rsidRPr="00131387">
        <w:rPr>
          <w:szCs w:val="24"/>
          <w:lang w:eastAsia="en-GB"/>
        </w:rPr>
        <w:br/>
        <w:t xml:space="preserve">by Mario Vargas Llosa, translated from the Spanish by Edith Grossman </w:t>
      </w:r>
      <w:r w:rsidR="00131387" w:rsidRPr="00131387">
        <w:rPr>
          <w:szCs w:val="24"/>
          <w:lang w:eastAsia="en-GB"/>
        </w:rPr>
        <w:br/>
        <w:t xml:space="preserve">Farrar, Straus and Giroux, 358 pp., $27.00                                                   </w:t>
      </w:r>
    </w:p>
    <w:p w:rsidR="003036D8" w:rsidRDefault="00131387" w:rsidP="003036D8">
      <w:pPr>
        <w:spacing w:after="0" w:line="240" w:lineRule="auto"/>
        <w:rPr>
          <w:szCs w:val="24"/>
          <w:lang w:eastAsia="en-GB"/>
        </w:rPr>
      </w:pPr>
      <w:r w:rsidRPr="00131387">
        <w:rPr>
          <w:noProof/>
          <w:color w:val="0000FF"/>
          <w:szCs w:val="24"/>
          <w:lang w:eastAsia="en-GB"/>
        </w:rPr>
        <w:drawing>
          <wp:inline distT="0" distB="0" distL="0" distR="0" wp14:anchorId="7F675A35" wp14:editId="3AFC9C0A">
            <wp:extent cx="4480560" cy="2948940"/>
            <wp:effectExtent l="0" t="0" r="0" b="3810"/>
            <wp:docPr id="3" name="photo-3437-img" descr="banville_1-102512.jpg">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hoto-3437-img" descr="banville_1-102512.jpg">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480560" cy="2948940"/>
                    </a:xfrm>
                    <a:prstGeom prst="rect">
                      <a:avLst/>
                    </a:prstGeom>
                    <a:noFill/>
                    <a:ln>
                      <a:noFill/>
                    </a:ln>
                  </pic:spPr>
                </pic:pic>
              </a:graphicData>
            </a:graphic>
          </wp:inline>
        </w:drawing>
      </w:r>
    </w:p>
    <w:p w:rsidR="00131387" w:rsidRPr="00131387" w:rsidRDefault="00131387" w:rsidP="003036D8">
      <w:pPr>
        <w:spacing w:after="0" w:line="240" w:lineRule="auto"/>
        <w:rPr>
          <w:szCs w:val="24"/>
          <w:lang w:eastAsia="en-GB"/>
        </w:rPr>
      </w:pPr>
      <w:r w:rsidRPr="00131387">
        <w:rPr>
          <w:szCs w:val="24"/>
          <w:lang w:eastAsia="en-GB"/>
        </w:rPr>
        <w:t xml:space="preserve">Roger Casement, circa 1904 </w:t>
      </w:r>
      <w:r w:rsidR="003036D8">
        <w:rPr>
          <w:szCs w:val="24"/>
          <w:lang w:eastAsia="en-GB"/>
        </w:rPr>
        <w:t>[actually 1915]</w:t>
      </w:r>
    </w:p>
    <w:p w:rsidR="00811194" w:rsidRPr="00811194" w:rsidRDefault="00811194" w:rsidP="003036D8">
      <w:pPr>
        <w:spacing w:before="100" w:beforeAutospacing="1" w:after="100" w:afterAutospacing="1" w:line="240" w:lineRule="auto"/>
        <w:jc w:val="both"/>
        <w:rPr>
          <w:sz w:val="20"/>
          <w:lang w:eastAsia="en-GB"/>
        </w:rPr>
      </w:pPr>
      <w:r w:rsidRPr="00811194">
        <w:rPr>
          <w:sz w:val="20"/>
          <w:lang w:eastAsia="en-GB"/>
        </w:rPr>
        <w:t>[“</w:t>
      </w:r>
      <w:proofErr w:type="spellStart"/>
      <w:r w:rsidRPr="00811194">
        <w:rPr>
          <w:i/>
          <w:sz w:val="20"/>
          <w:lang w:eastAsia="en-GB"/>
        </w:rPr>
        <w:t>Kepler</w:t>
      </w:r>
      <w:proofErr w:type="spellEnd"/>
      <w:r w:rsidRPr="00811194">
        <w:rPr>
          <w:sz w:val="20"/>
          <w:lang w:eastAsia="en-GB"/>
        </w:rPr>
        <w:t xml:space="preserve"> remains, for me, among the great unmade movies. In saying this, of course, I am fully aware that the unmade ones, including my biopic of Roger Casement are always the great ones.” </w:t>
      </w:r>
      <w:r>
        <w:rPr>
          <w:sz w:val="20"/>
          <w:lang w:eastAsia="en-GB"/>
        </w:rPr>
        <w:t>(</w:t>
      </w:r>
      <w:r w:rsidRPr="00811194">
        <w:rPr>
          <w:sz w:val="20"/>
          <w:lang w:eastAsia="en-GB"/>
        </w:rPr>
        <w:t>John Banville</w:t>
      </w:r>
      <w:r>
        <w:rPr>
          <w:sz w:val="20"/>
          <w:lang w:eastAsia="en-GB"/>
        </w:rPr>
        <w:t>, Irish Times</w:t>
      </w:r>
      <w:r w:rsidRPr="00811194">
        <w:rPr>
          <w:sz w:val="20"/>
          <w:lang w:eastAsia="en-GB"/>
        </w:rPr>
        <w:t>, 8 June 2013</w:t>
      </w:r>
      <w:r>
        <w:rPr>
          <w:sz w:val="20"/>
          <w:lang w:eastAsia="en-GB"/>
        </w:rPr>
        <w:t>.)</w:t>
      </w:r>
      <w:bookmarkStart w:id="0" w:name="_GoBack"/>
      <w:bookmarkEnd w:id="0"/>
      <w:r w:rsidRPr="00811194">
        <w:rPr>
          <w:sz w:val="20"/>
          <w:lang w:eastAsia="en-GB"/>
        </w:rPr>
        <w:t>]</w:t>
      </w:r>
    </w:p>
    <w:p w:rsidR="00131387" w:rsidRPr="00131387" w:rsidRDefault="00131387" w:rsidP="003036D8">
      <w:pPr>
        <w:spacing w:before="100" w:beforeAutospacing="1" w:after="100" w:afterAutospacing="1" w:line="240" w:lineRule="auto"/>
        <w:jc w:val="both"/>
        <w:rPr>
          <w:szCs w:val="24"/>
          <w:lang w:eastAsia="en-GB"/>
        </w:rPr>
      </w:pPr>
      <w:r w:rsidRPr="00131387">
        <w:rPr>
          <w:szCs w:val="24"/>
          <w:lang w:eastAsia="en-GB"/>
        </w:rPr>
        <w:t>Roger Casement was not only one of the greatest Irishmen who ever lived but also a considerable figure on the world stage. An Anglo-Irishman who flew the nets of his class and upbringing to devote himself to the cause of Irish independence from British rule, he was also, in his time, internationally recognized, indeed revered, as a champion of the oppressed indigenous peoples of West Africa and the Putumayo region of Peru, and as a tireless fighter for human rights in general. Why then is he largely forgotten, or ignored, in Ireland and elsewhere?</w:t>
      </w:r>
    </w:p>
    <w:p w:rsidR="00131387" w:rsidRPr="00131387" w:rsidRDefault="00131387" w:rsidP="003036D8">
      <w:pPr>
        <w:spacing w:before="100" w:beforeAutospacing="1" w:after="100" w:afterAutospacing="1" w:line="240" w:lineRule="auto"/>
        <w:jc w:val="both"/>
        <w:rPr>
          <w:szCs w:val="24"/>
          <w:lang w:eastAsia="en-GB"/>
        </w:rPr>
      </w:pPr>
      <w:r w:rsidRPr="00131387">
        <w:rPr>
          <w:szCs w:val="24"/>
          <w:lang w:eastAsia="en-GB"/>
        </w:rPr>
        <w:t>This is not an easy question to answer, for it has numerous strands. After the 1916 Rising in Dublin, which was to crack the foundations of the British Empire at the very time when Britain was mired in the horrors of World War I, Casement was stripped of his knighthood—although he had already renounced it—tried for treason, convicted, and hanged, despite the fact that he had come to Ireland from Germany on the eve of the Rising not to lead it, as the British believed, but, on the contrary, to try to persuade the rebel leaders to call it off, as he was convinced it could not succeed.</w:t>
      </w:r>
    </w:p>
    <w:p w:rsidR="00131387" w:rsidRPr="00131387" w:rsidRDefault="00131387" w:rsidP="003036D8">
      <w:pPr>
        <w:spacing w:before="100" w:beforeAutospacing="1" w:after="100" w:afterAutospacing="1" w:line="240" w:lineRule="auto"/>
        <w:jc w:val="both"/>
        <w:rPr>
          <w:szCs w:val="24"/>
          <w:lang w:eastAsia="en-GB"/>
        </w:rPr>
      </w:pPr>
      <w:r w:rsidRPr="00131387">
        <w:rPr>
          <w:szCs w:val="24"/>
          <w:lang w:eastAsia="en-GB"/>
        </w:rPr>
        <w:lastRenderedPageBreak/>
        <w:t xml:space="preserve">The Rising at first got little popular support—legend has it that at the start of the fighting on Easter Monday, Republican soldiers forcing their way into the General Post Office were set upon by respectable Dublin ladies who beat them with their umbrellas. But after the hasty court-martial and execution of fifteen of those leaders, public sentiment turned in </w:t>
      </w:r>
      <w:proofErr w:type="spellStart"/>
      <w:r w:rsidRPr="00131387">
        <w:rPr>
          <w:szCs w:val="24"/>
          <w:lang w:eastAsia="en-GB"/>
        </w:rPr>
        <w:t>favor</w:t>
      </w:r>
      <w:proofErr w:type="spellEnd"/>
      <w:r w:rsidRPr="00131387">
        <w:rPr>
          <w:szCs w:val="24"/>
          <w:lang w:eastAsia="en-GB"/>
        </w:rPr>
        <w:t xml:space="preserve"> of the seemingly failed rebellion. It was imperative, therefore, that Casement’s conviction and judicial execution be seen to have been entirely justified.</w:t>
      </w:r>
    </w:p>
    <w:p w:rsidR="00131387" w:rsidRPr="00131387" w:rsidRDefault="00131387" w:rsidP="003036D8">
      <w:pPr>
        <w:spacing w:before="100" w:beforeAutospacing="1" w:after="100" w:afterAutospacing="1" w:line="240" w:lineRule="auto"/>
        <w:jc w:val="both"/>
        <w:rPr>
          <w:szCs w:val="24"/>
          <w:lang w:eastAsia="en-GB"/>
        </w:rPr>
      </w:pPr>
      <w:r w:rsidRPr="00131387">
        <w:rPr>
          <w:szCs w:val="24"/>
          <w:lang w:eastAsia="en-GB"/>
        </w:rPr>
        <w:t>In pursuit of this goal, the contents of secret diaries he had kept in the Congo and in Peru, detailing promiscuous sexual activity with young native men, which had been discovered in Casement’s London flat after his arrest, were circulated widely among the clubs and pubs of London, causing general shock and outrage. For many years Irish republicans and others regarded the so-called Black Diaries as forgeries concocted by British intelligence to destroy Casement’s reputation and ensure there would be no commutation of the death sentence that had been passed on him. It has since been shown that the diaries were not forged, although that is not to say that what is contained in them is entirely factual.</w:t>
      </w:r>
      <w:hyperlink r:id="rId12" w:anchor="fn-1" w:history="1">
        <w:r w:rsidRPr="00131387">
          <w:rPr>
            <w:color w:val="0000FF"/>
            <w:szCs w:val="24"/>
            <w:u w:val="single"/>
            <w:vertAlign w:val="superscript"/>
            <w:lang w:eastAsia="en-GB"/>
          </w:rPr>
          <w:t>1</w:t>
        </w:r>
      </w:hyperlink>
      <w:r w:rsidRPr="00131387">
        <w:rPr>
          <w:szCs w:val="24"/>
          <w:lang w:eastAsia="en-GB"/>
        </w:rPr>
        <w:t xml:space="preserve"> These sordid matters, even when they were considered the result of mischief-making by perfidious Albion, cast a shadow over Casement’s memory among Irish nationalists and made them wary of admitting him into what the historian Tim Pat Coogan used drily to refer to as the “pantechnicon of Irish heroes,” while in the wider world, understandably, a man who had been hanged for treason by his own government in the midst of a world war seemed not the likeliest of paragons.</w:t>
      </w:r>
    </w:p>
    <w:p w:rsidR="00131387" w:rsidRPr="00131387" w:rsidRDefault="00131387" w:rsidP="003036D8">
      <w:pPr>
        <w:spacing w:before="100" w:beforeAutospacing="1" w:after="100" w:afterAutospacing="1" w:line="240" w:lineRule="auto"/>
        <w:jc w:val="both"/>
        <w:rPr>
          <w:szCs w:val="24"/>
          <w:lang w:eastAsia="en-GB"/>
        </w:rPr>
      </w:pPr>
      <w:r w:rsidRPr="00131387">
        <w:rPr>
          <w:szCs w:val="24"/>
          <w:lang w:eastAsia="en-GB"/>
        </w:rPr>
        <w:t xml:space="preserve">In </w:t>
      </w:r>
      <w:r w:rsidRPr="00131387">
        <w:rPr>
          <w:i/>
          <w:iCs/>
          <w:szCs w:val="24"/>
          <w:lang w:eastAsia="en-GB"/>
        </w:rPr>
        <w:t>The Dream of the Celt</w:t>
      </w:r>
      <w:r w:rsidRPr="00131387">
        <w:rPr>
          <w:szCs w:val="24"/>
          <w:lang w:eastAsia="en-GB"/>
        </w:rPr>
        <w:t>—the title is from a long, romantically patriotic poem by Casement—Mario Vargas Llosa has set out to recuperate Casement’s good name and restore him to an eminent place in history by way of a lightly fictionalized account of his life and work.</w:t>
      </w:r>
    </w:p>
    <w:p w:rsidR="00131387" w:rsidRPr="00131387" w:rsidRDefault="00131387" w:rsidP="003036D8">
      <w:pPr>
        <w:spacing w:before="100" w:beforeAutospacing="1" w:after="100" w:afterAutospacing="1" w:line="240" w:lineRule="auto"/>
        <w:jc w:val="both"/>
        <w:rPr>
          <w:szCs w:val="24"/>
          <w:lang w:eastAsia="en-GB"/>
        </w:rPr>
      </w:pPr>
      <w:r w:rsidRPr="00131387">
        <w:rPr>
          <w:szCs w:val="24"/>
          <w:lang w:eastAsia="en-GB"/>
        </w:rPr>
        <w:t xml:space="preserve">Roger Casement—“Roddie” to his family—was born in 1864 in the Dublin suburb of Sandycove, site of the Martello Tower where Joyce set the opening chapter of </w:t>
      </w:r>
      <w:r w:rsidRPr="00131387">
        <w:rPr>
          <w:i/>
          <w:iCs/>
          <w:szCs w:val="24"/>
          <w:lang w:eastAsia="en-GB"/>
        </w:rPr>
        <w:t>Ulysses</w:t>
      </w:r>
      <w:r w:rsidRPr="00131387">
        <w:rPr>
          <w:szCs w:val="24"/>
          <w:lang w:eastAsia="en-GB"/>
        </w:rPr>
        <w:t xml:space="preserve">. His father, also Roger, was a dashing figure who served in the Dragoon Guards in India and later turned up at </w:t>
      </w:r>
      <w:proofErr w:type="spellStart"/>
      <w:r w:rsidRPr="00131387">
        <w:rPr>
          <w:szCs w:val="24"/>
          <w:lang w:eastAsia="en-GB"/>
        </w:rPr>
        <w:t>Widdin</w:t>
      </w:r>
      <w:proofErr w:type="spellEnd"/>
      <w:r w:rsidRPr="00131387">
        <w:rPr>
          <w:szCs w:val="24"/>
          <w:lang w:eastAsia="en-GB"/>
        </w:rPr>
        <w:t xml:space="preserve">, on the banks of the Danube, to offer his services to the cause of Hungarian independence, and was sent by </w:t>
      </w:r>
      <w:proofErr w:type="spellStart"/>
      <w:r w:rsidRPr="00131387">
        <w:rPr>
          <w:szCs w:val="24"/>
          <w:lang w:eastAsia="en-GB"/>
        </w:rPr>
        <w:t>Lajos</w:t>
      </w:r>
      <w:proofErr w:type="spellEnd"/>
      <w:r w:rsidRPr="00131387">
        <w:rPr>
          <w:szCs w:val="24"/>
          <w:lang w:eastAsia="en-GB"/>
        </w:rPr>
        <w:t xml:space="preserve"> Kossuth, the Hungarian leader, with a letter to the British </w:t>
      </w:r>
      <w:proofErr w:type="gramStart"/>
      <w:r w:rsidRPr="00131387">
        <w:rPr>
          <w:szCs w:val="24"/>
          <w:lang w:eastAsia="en-GB"/>
        </w:rPr>
        <w:t>prime minister</w:t>
      </w:r>
      <w:proofErr w:type="gramEnd"/>
      <w:r w:rsidRPr="00131387">
        <w:rPr>
          <w:szCs w:val="24"/>
          <w:lang w:eastAsia="en-GB"/>
        </w:rPr>
        <w:t>, Lord Palmerston, pleading for support.</w:t>
      </w:r>
      <w:hyperlink r:id="rId13" w:anchor="fn-2" w:history="1">
        <w:r w:rsidRPr="00131387">
          <w:rPr>
            <w:color w:val="0000FF"/>
            <w:szCs w:val="24"/>
            <w:u w:val="single"/>
            <w:vertAlign w:val="superscript"/>
            <w:lang w:eastAsia="en-GB"/>
          </w:rPr>
          <w:t>2</w:t>
        </w:r>
      </w:hyperlink>
      <w:r w:rsidRPr="00131387">
        <w:rPr>
          <w:szCs w:val="24"/>
          <w:lang w:eastAsia="en-GB"/>
        </w:rPr>
        <w:t xml:space="preserve"> It is clear, then, where Casement </w:t>
      </w:r>
      <w:proofErr w:type="spellStart"/>
      <w:r w:rsidRPr="00131387">
        <w:rPr>
          <w:i/>
          <w:iCs/>
          <w:szCs w:val="24"/>
          <w:lang w:eastAsia="en-GB"/>
        </w:rPr>
        <w:t>fils</w:t>
      </w:r>
      <w:proofErr w:type="spellEnd"/>
      <w:r w:rsidRPr="00131387">
        <w:rPr>
          <w:szCs w:val="24"/>
          <w:lang w:eastAsia="en-GB"/>
        </w:rPr>
        <w:t xml:space="preserve"> acquired at least something of his taste for adventure and his romantic commitment to the cause of freedom.</w:t>
      </w:r>
    </w:p>
    <w:p w:rsidR="00131387" w:rsidRPr="00131387" w:rsidRDefault="00131387" w:rsidP="003036D8">
      <w:pPr>
        <w:spacing w:before="100" w:beforeAutospacing="1" w:after="100" w:afterAutospacing="1" w:line="240" w:lineRule="auto"/>
        <w:jc w:val="both"/>
        <w:rPr>
          <w:szCs w:val="24"/>
          <w:lang w:eastAsia="en-GB"/>
        </w:rPr>
      </w:pPr>
      <w:r w:rsidRPr="00131387">
        <w:rPr>
          <w:szCs w:val="24"/>
          <w:lang w:eastAsia="en-GB"/>
        </w:rPr>
        <w:t>Casement in later life claimed that there was not a drop of English blood in his veins, but this too was a romance. His father’s people originated on the Isle of Man and in the eighteenth century settled in County Antrim in the northeast corner of Ireland. They became landed gentry in the beautiful coastal area around Ballycastle and Ballymena; there were doctors and lawyers in the family, as well as Church of Ireland clergymen. Roger Casement was therefore a member of the Protestant Ascendancy, although the Casements were a minor if highly respectable branch of that already faltering class. His ancestors on the maternal side were originally English also, having come to Ireland from Leicestershire in the mid-seventeenth century. Casement’s mother, Anne née Jephson, was a Catholic convert who in turn secretly baptized Roger when he was three years old.</w:t>
      </w:r>
    </w:p>
    <w:p w:rsidR="00131387" w:rsidRPr="00131387" w:rsidRDefault="00131387" w:rsidP="003036D8">
      <w:pPr>
        <w:spacing w:before="100" w:beforeAutospacing="1" w:after="100" w:afterAutospacing="1" w:line="240" w:lineRule="auto"/>
        <w:jc w:val="both"/>
        <w:rPr>
          <w:szCs w:val="24"/>
          <w:lang w:eastAsia="en-GB"/>
        </w:rPr>
      </w:pPr>
      <w:r w:rsidRPr="00131387">
        <w:rPr>
          <w:szCs w:val="24"/>
          <w:lang w:eastAsia="en-GB"/>
        </w:rPr>
        <w:t xml:space="preserve">If Casement </w:t>
      </w:r>
      <w:r w:rsidRPr="00131387">
        <w:rPr>
          <w:i/>
          <w:iCs/>
          <w:szCs w:val="24"/>
          <w:lang w:eastAsia="en-GB"/>
        </w:rPr>
        <w:t>père</w:t>
      </w:r>
      <w:r w:rsidRPr="00131387">
        <w:rPr>
          <w:szCs w:val="24"/>
          <w:lang w:eastAsia="en-GB"/>
        </w:rPr>
        <w:t xml:space="preserve"> was a somewhat remote figure emotionally, Anne Casement was a warm and loving presence in the lives of her four children, of whom the youngest was Roddie. However, when Roddie was nine his mother died, and a few years later Roger senior followed her, having ended his days in poverty. From these early losses Casement seems to </w:t>
      </w:r>
      <w:r w:rsidRPr="00131387">
        <w:rPr>
          <w:szCs w:val="24"/>
          <w:lang w:eastAsia="en-GB"/>
        </w:rPr>
        <w:lastRenderedPageBreak/>
        <w:t>have never quite recovered—as who would? Vargas Llosa gives sympathetic and mutedly lyrical accounts of the various stages of Casement’s childhood and youth. The novelist has an acute awareness of the gentleness of Casement’s nature, and of what might be called his practical-minded saintliness. Nevertheless his novel is by no means a hagiography, and acknowledges its hero’s naiveté and, where Ireland was concerned, his frequent and in the end fatal wrongheadedness.</w:t>
      </w:r>
    </w:p>
    <w:p w:rsidR="00131387" w:rsidRPr="00131387" w:rsidRDefault="00131387" w:rsidP="003036D8">
      <w:pPr>
        <w:spacing w:before="100" w:beforeAutospacing="1" w:after="100" w:afterAutospacing="1" w:line="240" w:lineRule="auto"/>
        <w:jc w:val="both"/>
        <w:rPr>
          <w:szCs w:val="24"/>
          <w:lang w:eastAsia="en-GB"/>
        </w:rPr>
      </w:pPr>
      <w:r w:rsidRPr="00131387">
        <w:rPr>
          <w:szCs w:val="24"/>
          <w:lang w:eastAsia="en-GB"/>
        </w:rPr>
        <w:t xml:space="preserve">Like most small boys young Roddie gloried in tales of adventure and derring-do. He “liked to become involved in the stories of great navigators, the Vikings, Portuguese, Englishmen, and Spaniards who had </w:t>
      </w:r>
      <w:proofErr w:type="spellStart"/>
      <w:r w:rsidRPr="00131387">
        <w:rPr>
          <w:szCs w:val="24"/>
          <w:lang w:eastAsia="en-GB"/>
        </w:rPr>
        <w:t>plowed</w:t>
      </w:r>
      <w:proofErr w:type="spellEnd"/>
      <w:r w:rsidRPr="00131387">
        <w:rPr>
          <w:szCs w:val="24"/>
          <w:lang w:eastAsia="en-GB"/>
        </w:rPr>
        <w:t xml:space="preserve"> the world’s seas,” and especially enjoyed his father’s stories of military life in “the jungles of India or [on] the crags and boulders of the Khyber Pass,” Vargas Llosa writes.</w:t>
      </w:r>
    </w:p>
    <w:p w:rsidR="00131387" w:rsidRPr="00131387" w:rsidRDefault="00131387" w:rsidP="003036D8">
      <w:pPr>
        <w:spacing w:after="100" w:line="240" w:lineRule="auto"/>
        <w:jc w:val="both"/>
        <w:rPr>
          <w:szCs w:val="24"/>
          <w:lang w:eastAsia="en-GB"/>
        </w:rPr>
      </w:pPr>
      <w:r w:rsidRPr="00131387">
        <w:rPr>
          <w:szCs w:val="24"/>
          <w:lang w:eastAsia="en-GB"/>
        </w:rPr>
        <w:t xml:space="preserve">But it wasn’t feats of arms that most dazzled young Roger’s imagination, it was the journeys, the opening of paths through landscapes where white men had never walked, the physical prowess of enduring and conquering the obstacles of nature. </w:t>
      </w:r>
    </w:p>
    <w:p w:rsidR="00131387" w:rsidRPr="00131387" w:rsidRDefault="00131387" w:rsidP="003036D8">
      <w:pPr>
        <w:spacing w:before="100" w:beforeAutospacing="1" w:after="100" w:afterAutospacing="1" w:line="240" w:lineRule="auto"/>
        <w:jc w:val="both"/>
        <w:rPr>
          <w:szCs w:val="24"/>
          <w:lang w:eastAsia="en-GB"/>
        </w:rPr>
      </w:pPr>
      <w:r w:rsidRPr="00131387">
        <w:rPr>
          <w:szCs w:val="24"/>
          <w:lang w:eastAsia="en-GB"/>
        </w:rPr>
        <w:t>His special heroes were David Livingstone, the Scots doctor and evangelist who disappeared while searching for the source of the Nile, and the Welsh adventurer Henry Morton Stanley who, in 1872, famously “found” Dr. Livingstone and thereby achieved international fame. “When [Roger] grew up, he too would be an explorer like those titans, Livingstone and Stanley, who were expanding the frontiers of the West and living such extraordinary lives.”</w:t>
      </w:r>
    </w:p>
    <w:p w:rsidR="00131387" w:rsidRPr="00131387" w:rsidRDefault="00131387" w:rsidP="003036D8">
      <w:pPr>
        <w:spacing w:before="100" w:beforeAutospacing="1" w:after="100" w:afterAutospacing="1" w:line="240" w:lineRule="auto"/>
        <w:jc w:val="both"/>
        <w:rPr>
          <w:szCs w:val="24"/>
          <w:lang w:eastAsia="en-GB"/>
        </w:rPr>
      </w:pPr>
      <w:r w:rsidRPr="00131387">
        <w:rPr>
          <w:szCs w:val="24"/>
          <w:lang w:eastAsia="en-GB"/>
        </w:rPr>
        <w:t xml:space="preserve">Following their father’s death, the orphan Roddie and his sister and two older brothers were sent to live at Magherintemple House, the Casements’ ancestral home in County Antrim in Northern Ireland, under the care of their Great-Uncle John and Great-Aunt Charlotte. Roddie never felt at home in that austere household, but he loved the surrounding countryside and seashore, which he explored with his sister Nina, to whom he was very close, although she was eight years older. Casement always thought of himself as an Ulsterman, yet he was never as happy as he was in the summers he spent as a teenager in Liverpool with his maternal Aunt Grace and her husband Edward Bannister, who had </w:t>
      </w:r>
      <w:proofErr w:type="spellStart"/>
      <w:r w:rsidRPr="00131387">
        <w:rPr>
          <w:szCs w:val="24"/>
          <w:lang w:eastAsia="en-GB"/>
        </w:rPr>
        <w:t>traveled</w:t>
      </w:r>
      <w:proofErr w:type="spellEnd"/>
      <w:r w:rsidRPr="00131387">
        <w:rPr>
          <w:szCs w:val="24"/>
          <w:lang w:eastAsia="en-GB"/>
        </w:rPr>
        <w:t xml:space="preserve"> in Africa and now worked for the Elder Dempster shipping line that ran merchant and passengers ships between Britain and West Africa. This was the company that Roddie went to work for at the early age of fifteen.</w:t>
      </w:r>
    </w:p>
    <w:p w:rsidR="00131387" w:rsidRPr="00131387" w:rsidRDefault="00131387" w:rsidP="003036D8">
      <w:pPr>
        <w:spacing w:before="100" w:beforeAutospacing="1" w:after="100" w:afterAutospacing="1" w:line="240" w:lineRule="auto"/>
        <w:jc w:val="both"/>
        <w:rPr>
          <w:szCs w:val="24"/>
          <w:lang w:eastAsia="en-GB"/>
        </w:rPr>
      </w:pPr>
      <w:r w:rsidRPr="00131387">
        <w:rPr>
          <w:szCs w:val="24"/>
          <w:lang w:eastAsia="en-GB"/>
        </w:rPr>
        <w:t xml:space="preserve">It has been claimed of eighteenth- and nineteenth-century England that it accumulated its empire by accident, absent-mindedly. In the popular imagination of Victorian England colonialism was regarded as first and foremost a mission to bring culture, Christianity, and restrained good manners to the barbarous peoples of what would later come to be called the third world. Commerce and profiteering, according to this complacent fantasy, were incidental to the civilizing task of Britain’s foreign </w:t>
      </w:r>
      <w:proofErr w:type="spellStart"/>
      <w:r w:rsidRPr="00131387">
        <w:rPr>
          <w:szCs w:val="24"/>
          <w:lang w:eastAsia="en-GB"/>
        </w:rPr>
        <w:t>venturings</w:t>
      </w:r>
      <w:proofErr w:type="spellEnd"/>
      <w:r w:rsidRPr="00131387">
        <w:rPr>
          <w:szCs w:val="24"/>
          <w:lang w:eastAsia="en-GB"/>
        </w:rPr>
        <w:t>. Roger Casement in his youth subscribed fully to the image of the White Man in Africa bearing nobly and selflessly his philanthropic burden. It was a long time before he came at last to understand the true nature of the European exploit in the Dark Continent, and the implications of that exploit for the continent’s aboriginal peoples.</w:t>
      </w:r>
    </w:p>
    <w:p w:rsidR="00131387" w:rsidRPr="00131387" w:rsidRDefault="00131387" w:rsidP="003036D8">
      <w:pPr>
        <w:spacing w:before="100" w:beforeAutospacing="1" w:after="100" w:afterAutospacing="1" w:line="240" w:lineRule="auto"/>
        <w:jc w:val="both"/>
        <w:rPr>
          <w:szCs w:val="24"/>
          <w:lang w:eastAsia="en-GB"/>
        </w:rPr>
      </w:pPr>
      <w:r w:rsidRPr="00131387">
        <w:rPr>
          <w:szCs w:val="24"/>
          <w:lang w:eastAsia="en-GB"/>
        </w:rPr>
        <w:t xml:space="preserve">In the vanguard of the nineteenth-century scramble for Africa was Leopold II of Belgium, a wily and ruthless monarch who, under the guise of being a humanitarian crusader, </w:t>
      </w:r>
      <w:proofErr w:type="spellStart"/>
      <w:r w:rsidRPr="00131387">
        <w:rPr>
          <w:szCs w:val="24"/>
          <w:lang w:eastAsia="en-GB"/>
        </w:rPr>
        <w:t>maneuvered</w:t>
      </w:r>
      <w:proofErr w:type="spellEnd"/>
      <w:r w:rsidRPr="00131387">
        <w:rPr>
          <w:szCs w:val="24"/>
          <w:lang w:eastAsia="en-GB"/>
        </w:rPr>
        <w:t xml:space="preserve"> the Berlin Conference on West Africa of 1884–1885 into granting him the Republic of Congo, that vast and benighted treasure-house of natural resources, as his personal fiefdom, where he might, and did, pillage and plunder without supervision or </w:t>
      </w:r>
      <w:r w:rsidRPr="00131387">
        <w:rPr>
          <w:szCs w:val="24"/>
          <w:lang w:eastAsia="en-GB"/>
        </w:rPr>
        <w:lastRenderedPageBreak/>
        <w:t>hindrance. There were of course no African representatives at the Berlin Conference, yet it was decided that, as Angus Mitchell writes in a fine monograph on Casement, “humanitarian intentions would guide any imperial project.”</w:t>
      </w:r>
      <w:hyperlink r:id="rId14" w:anchor="fn-3" w:history="1">
        <w:r w:rsidRPr="00131387">
          <w:rPr>
            <w:color w:val="0000FF"/>
            <w:szCs w:val="24"/>
            <w:u w:val="single"/>
            <w:vertAlign w:val="superscript"/>
            <w:lang w:eastAsia="en-GB"/>
          </w:rPr>
          <w:t>3</w:t>
        </w:r>
      </w:hyperlink>
    </w:p>
    <w:p w:rsidR="00131387" w:rsidRPr="00131387" w:rsidRDefault="00131387" w:rsidP="003036D8">
      <w:pPr>
        <w:spacing w:before="100" w:beforeAutospacing="1" w:after="100" w:afterAutospacing="1" w:line="240" w:lineRule="auto"/>
        <w:jc w:val="both"/>
        <w:rPr>
          <w:szCs w:val="24"/>
          <w:lang w:eastAsia="en-GB"/>
        </w:rPr>
      </w:pPr>
      <w:r w:rsidRPr="00131387">
        <w:rPr>
          <w:szCs w:val="24"/>
          <w:lang w:eastAsia="en-GB"/>
        </w:rPr>
        <w:t>The British delegate, Sir Edward Malet, declared that the project would be “dominated by a purely philanthropic idea,” while Bismarck, who had convened the conference, spoke of “noble efforts” to “render great services in the cause of humanity.” Not to be outdone, Leopold himself chimed in to promise “work of moral and material regeneration.” Some, perhaps many, of the statesmen who deliberated at Berlin may have believed in this pious claptrap, and certainly, as Mitchell notes, “</w:t>
      </w:r>
      <w:proofErr w:type="gramStart"/>
      <w:r w:rsidRPr="00131387">
        <w:rPr>
          <w:szCs w:val="24"/>
          <w:lang w:eastAsia="en-GB"/>
        </w:rPr>
        <w:t>many</w:t>
      </w:r>
      <w:proofErr w:type="gramEnd"/>
      <w:r w:rsidRPr="00131387">
        <w:rPr>
          <w:szCs w:val="24"/>
          <w:lang w:eastAsia="en-GB"/>
        </w:rPr>
        <w:t xml:space="preserve"> idealistic young men with a sense of adventure set out for Africa to try and realize those aims.” But before them went the tiger of nineteenth-century capitalism, red in tooth and claw.</w:t>
      </w:r>
    </w:p>
    <w:p w:rsidR="00131387" w:rsidRPr="00131387" w:rsidRDefault="00131387" w:rsidP="003036D8">
      <w:pPr>
        <w:spacing w:before="100" w:beforeAutospacing="1" w:after="100" w:afterAutospacing="1" w:line="240" w:lineRule="auto"/>
        <w:jc w:val="both"/>
        <w:rPr>
          <w:szCs w:val="24"/>
          <w:lang w:eastAsia="en-GB"/>
        </w:rPr>
      </w:pPr>
      <w:r w:rsidRPr="00131387">
        <w:rPr>
          <w:szCs w:val="24"/>
          <w:lang w:eastAsia="en-GB"/>
        </w:rPr>
        <w:t xml:space="preserve">Casement was one of those idealistic young men eager to join in the imperial adventure in Africa. In 1883 he signed on as purser aboard the SS </w:t>
      </w:r>
      <w:r w:rsidRPr="00131387">
        <w:rPr>
          <w:i/>
          <w:iCs/>
          <w:szCs w:val="24"/>
          <w:lang w:eastAsia="en-GB"/>
        </w:rPr>
        <w:t>Bonny</w:t>
      </w:r>
      <w:r w:rsidRPr="00131387">
        <w:rPr>
          <w:szCs w:val="24"/>
          <w:lang w:eastAsia="en-GB"/>
        </w:rPr>
        <w:t>, an Elder Dempster trade ship plying between Liverpool and Boma, near the mouth of the Congo River. He made three round-trips to Africa, and was so taken with the place that the following year he resigned his job and transferred to West Africa. What exactly it was he did in his first years there remains mysterious. Although he was an inveterate note-taker and diarist, he left scant record of those years, saying only that he had spent them “in varied employments” and denying he had ever been a trader as such. He must have been busy doing something, however, since Edmund D. Morel, the great campaigner for reform of the colonial system in Africa, could write of him that “he knows more about the Congo than any man living and is one of the finest men that God ever made.”</w:t>
      </w:r>
    </w:p>
    <w:p w:rsidR="00131387" w:rsidRPr="00131387" w:rsidRDefault="00131387" w:rsidP="003036D8">
      <w:pPr>
        <w:spacing w:before="100" w:beforeAutospacing="1" w:after="100" w:afterAutospacing="1" w:line="240" w:lineRule="auto"/>
        <w:jc w:val="both"/>
        <w:rPr>
          <w:szCs w:val="24"/>
          <w:lang w:eastAsia="en-GB"/>
        </w:rPr>
      </w:pPr>
      <w:r w:rsidRPr="00131387">
        <w:rPr>
          <w:szCs w:val="24"/>
          <w:lang w:eastAsia="en-GB"/>
        </w:rPr>
        <w:t xml:space="preserve">In the years after the Berlin Conference, Leopold’s agents hurriedly carried on the work of charting the Congo and opening it up to exploration, in order to gain access to the country’s vast mineral resources, in particular rubber, the “black gold” of the time. Already, between 1879 and 1881, a three-hundred-mile trade route had been opened from the mouth of the Congo </w:t>
      </w:r>
      <w:proofErr w:type="gramStart"/>
      <w:r w:rsidRPr="00131387">
        <w:rPr>
          <w:szCs w:val="24"/>
          <w:lang w:eastAsia="en-GB"/>
        </w:rPr>
        <w:t>river</w:t>
      </w:r>
      <w:proofErr w:type="gramEnd"/>
      <w:r w:rsidRPr="00131387">
        <w:rPr>
          <w:szCs w:val="24"/>
          <w:lang w:eastAsia="en-GB"/>
        </w:rPr>
        <w:t xml:space="preserve"> to the great alluvial lagoon that was to be named Stanley Pool. “Afterward,” writes Vargas Llosa, Casement</w:t>
      </w:r>
      <w:r>
        <w:rPr>
          <w:szCs w:val="24"/>
          <w:lang w:eastAsia="en-GB"/>
        </w:rPr>
        <w:t xml:space="preserve"> </w:t>
      </w:r>
      <w:r w:rsidRPr="00131387">
        <w:rPr>
          <w:szCs w:val="24"/>
          <w:lang w:eastAsia="en-GB"/>
        </w:rPr>
        <w:t xml:space="preserve">discovered this was another of the farsighted operations of the king of the Belgians to create the infrastructure that would permit the territory to be exploited following the Berlin Conference…. </w:t>
      </w:r>
    </w:p>
    <w:p w:rsidR="00131387" w:rsidRPr="00131387" w:rsidRDefault="00131387" w:rsidP="003036D8">
      <w:pPr>
        <w:spacing w:before="100" w:beforeAutospacing="1" w:after="100" w:afterAutospacing="1" w:line="240" w:lineRule="auto"/>
        <w:jc w:val="both"/>
        <w:rPr>
          <w:szCs w:val="24"/>
          <w:lang w:eastAsia="en-GB"/>
        </w:rPr>
      </w:pPr>
      <w:r w:rsidRPr="00131387">
        <w:rPr>
          <w:szCs w:val="24"/>
          <w:lang w:eastAsia="en-GB"/>
        </w:rPr>
        <w:t>This daring feat of exploration, it turned out, had been the work of Casement’s boyhood hero, H.M. Stanley, who for years had been Leopold’s chief agent in the Congo, a territory as big as Europe and one of the richest prizes in Africa. As Vargas Llosa writes, “‘And I,’ Roger Casement would often tell his friend Herbert Ward during his African years, as he was becoming aware of what the Congo Free State meant, ‘was one of his foot soldiers from the beginning.’”</w:t>
      </w:r>
    </w:p>
    <w:p w:rsidR="00131387" w:rsidRPr="00131387" w:rsidRDefault="00131387" w:rsidP="003036D8">
      <w:pPr>
        <w:spacing w:before="100" w:beforeAutospacing="1" w:after="100" w:afterAutospacing="1" w:line="240" w:lineRule="auto"/>
        <w:jc w:val="both"/>
        <w:rPr>
          <w:szCs w:val="24"/>
          <w:lang w:eastAsia="en-GB"/>
        </w:rPr>
      </w:pPr>
      <w:r w:rsidRPr="00131387">
        <w:rPr>
          <w:szCs w:val="24"/>
          <w:lang w:eastAsia="en-GB"/>
        </w:rPr>
        <w:t>In 1884, while the Berlin Conference was in progress, Casement went to work for the International Association, an intentionally vaguely named agency controlled directly by Leopold and his man Stanley. Two years later Casement joined the Sanford Expedition, another front organization for Leopold, charged with the task of surveying still-unexplored areas of the Free State and laying them bare to exploitation. Vargas Llosa writes:</w:t>
      </w:r>
    </w:p>
    <w:p w:rsidR="00131387" w:rsidRPr="00131387" w:rsidRDefault="00131387" w:rsidP="003036D8">
      <w:pPr>
        <w:spacing w:after="100" w:line="240" w:lineRule="auto"/>
        <w:jc w:val="both"/>
        <w:rPr>
          <w:szCs w:val="24"/>
          <w:lang w:eastAsia="en-GB"/>
        </w:rPr>
      </w:pPr>
      <w:r w:rsidRPr="00131387">
        <w:rPr>
          <w:szCs w:val="24"/>
          <w:lang w:eastAsia="en-GB"/>
        </w:rPr>
        <w:t xml:space="preserve">For the rest of his life, Roger lamented…dedicating his first eight years in Africa to working, like a pawn in a game of chess, on the building of the Congo Free State, investing his time, </w:t>
      </w:r>
      <w:r w:rsidRPr="00131387">
        <w:rPr>
          <w:szCs w:val="24"/>
          <w:lang w:eastAsia="en-GB"/>
        </w:rPr>
        <w:lastRenderedPageBreak/>
        <w:t xml:space="preserve">health, effort, and idealism, and believing that in this way he was contributing to a philanthropic plan. </w:t>
      </w:r>
    </w:p>
    <w:p w:rsidR="00131387" w:rsidRPr="00131387" w:rsidRDefault="00131387" w:rsidP="003036D8">
      <w:pPr>
        <w:spacing w:before="100" w:beforeAutospacing="1" w:after="100" w:afterAutospacing="1" w:line="240" w:lineRule="auto"/>
        <w:jc w:val="both"/>
        <w:rPr>
          <w:szCs w:val="24"/>
          <w:lang w:eastAsia="en-GB"/>
        </w:rPr>
      </w:pPr>
      <w:r w:rsidRPr="00131387">
        <w:rPr>
          <w:szCs w:val="24"/>
          <w:lang w:eastAsia="en-GB"/>
        </w:rPr>
        <w:t xml:space="preserve">One of the most striking aspects of Casement’s story is the record it presents of a decent and simple-hearted man being transformed, by appalling circumstances, into a great moral figure, the weight and authority of whose voice would be heeded by governments, prime ministers, and presidents. As the scales fell from his eyes Casement began to recognize, or admit to himself, that Leopold’s African treasure-house was run on a regime of terror, the symbol of which was the </w:t>
      </w:r>
      <w:proofErr w:type="spellStart"/>
      <w:r w:rsidRPr="00131387">
        <w:rPr>
          <w:i/>
          <w:iCs/>
          <w:szCs w:val="24"/>
          <w:lang w:eastAsia="en-GB"/>
        </w:rPr>
        <w:t>chicote</w:t>
      </w:r>
      <w:proofErr w:type="spellEnd"/>
      <w:r w:rsidRPr="00131387">
        <w:rPr>
          <w:szCs w:val="24"/>
          <w:lang w:eastAsia="en-GB"/>
        </w:rPr>
        <w:t xml:space="preserve">, a whip made of hippopotamus hide, “a </w:t>
      </w:r>
      <w:proofErr w:type="spellStart"/>
      <w:r w:rsidRPr="00131387">
        <w:rPr>
          <w:szCs w:val="24"/>
          <w:lang w:eastAsia="en-GB"/>
        </w:rPr>
        <w:t>vinelike</w:t>
      </w:r>
      <w:proofErr w:type="spellEnd"/>
      <w:r w:rsidRPr="00131387">
        <w:rPr>
          <w:szCs w:val="24"/>
          <w:lang w:eastAsia="en-GB"/>
        </w:rPr>
        <w:t xml:space="preserve"> cord able to produce more burning, blood, scars, and pain than any other scourge,” which Leopold’s overseers used upon the native rubber-gatherers with unremitting cruelty.</w:t>
      </w:r>
    </w:p>
    <w:p w:rsidR="00131387" w:rsidRPr="00131387" w:rsidRDefault="00131387" w:rsidP="003036D8">
      <w:pPr>
        <w:spacing w:before="100" w:beforeAutospacing="1" w:after="100" w:afterAutospacing="1" w:line="240" w:lineRule="auto"/>
        <w:jc w:val="both"/>
        <w:rPr>
          <w:szCs w:val="24"/>
          <w:lang w:eastAsia="en-GB"/>
        </w:rPr>
      </w:pPr>
      <w:r w:rsidRPr="00131387">
        <w:rPr>
          <w:szCs w:val="24"/>
          <w:lang w:eastAsia="en-GB"/>
        </w:rPr>
        <w:t xml:space="preserve">Casement must have had a </w:t>
      </w:r>
      <w:proofErr w:type="spellStart"/>
      <w:r w:rsidRPr="00131387">
        <w:rPr>
          <w:szCs w:val="24"/>
          <w:lang w:eastAsia="en-GB"/>
        </w:rPr>
        <w:t>catalog</w:t>
      </w:r>
      <w:proofErr w:type="spellEnd"/>
      <w:r w:rsidRPr="00131387">
        <w:rPr>
          <w:szCs w:val="24"/>
          <w:lang w:eastAsia="en-GB"/>
        </w:rPr>
        <w:t xml:space="preserve"> of atrocities to pass on to the young Polish adventurer </w:t>
      </w:r>
      <w:proofErr w:type="spellStart"/>
      <w:r w:rsidRPr="00131387">
        <w:rPr>
          <w:szCs w:val="24"/>
          <w:lang w:eastAsia="en-GB"/>
        </w:rPr>
        <w:t>Jósef</w:t>
      </w:r>
      <w:proofErr w:type="spellEnd"/>
      <w:r w:rsidRPr="00131387">
        <w:rPr>
          <w:szCs w:val="24"/>
          <w:lang w:eastAsia="en-GB"/>
        </w:rPr>
        <w:t xml:space="preserve"> Korzeniowski, whom he met and befriended in Matadi in 1890, when he had been more than five years in the African inferno. Later, when Korzeniowski had become Joseph Conrad, he retained an equivocal impression of Casement, describing him as “a limpid personality,”</w:t>
      </w:r>
      <w:hyperlink r:id="rId15" w:anchor="fn-4" w:history="1">
        <w:r w:rsidRPr="00131387">
          <w:rPr>
            <w:color w:val="0000FF"/>
            <w:szCs w:val="24"/>
            <w:u w:val="single"/>
            <w:vertAlign w:val="superscript"/>
            <w:lang w:eastAsia="en-GB"/>
          </w:rPr>
          <w:t>4</w:t>
        </w:r>
      </w:hyperlink>
      <w:r w:rsidRPr="00131387">
        <w:rPr>
          <w:szCs w:val="24"/>
          <w:lang w:eastAsia="en-GB"/>
        </w:rPr>
        <w:t xml:space="preserve"> but also as “a man, properly speaking, of no mind at all.” But if Conrad saw Casement as one of the “hollow men” who ran colonial Africa, like the demented Kurtz in </w:t>
      </w:r>
      <w:r w:rsidRPr="00131387">
        <w:rPr>
          <w:i/>
          <w:iCs/>
          <w:szCs w:val="24"/>
          <w:lang w:eastAsia="en-GB"/>
        </w:rPr>
        <w:t>Heart of Darkness</w:t>
      </w:r>
      <w:r w:rsidRPr="00131387">
        <w:rPr>
          <w:szCs w:val="24"/>
          <w:lang w:eastAsia="en-GB"/>
        </w:rPr>
        <w:t xml:space="preserve">, he was wrong. Casement admired the book and wrote to Conrad to tell him so; he knew, more thoroughly than its author </w:t>
      </w:r>
      <w:proofErr w:type="gramStart"/>
      <w:r w:rsidRPr="00131387">
        <w:rPr>
          <w:szCs w:val="24"/>
          <w:lang w:eastAsia="en-GB"/>
        </w:rPr>
        <w:t>did,</w:t>
      </w:r>
      <w:proofErr w:type="gramEnd"/>
      <w:r w:rsidRPr="00131387">
        <w:rPr>
          <w:szCs w:val="24"/>
          <w:lang w:eastAsia="en-GB"/>
        </w:rPr>
        <w:t xml:space="preserve"> the terrible reality on which the tale was based.</w:t>
      </w:r>
    </w:p>
    <w:p w:rsidR="00131387" w:rsidRPr="00131387" w:rsidRDefault="00131387" w:rsidP="003036D8">
      <w:pPr>
        <w:spacing w:before="100" w:beforeAutospacing="1" w:after="100" w:afterAutospacing="1" w:line="240" w:lineRule="auto"/>
        <w:jc w:val="both"/>
        <w:rPr>
          <w:szCs w:val="24"/>
          <w:lang w:eastAsia="en-GB"/>
        </w:rPr>
      </w:pPr>
      <w:r w:rsidRPr="00131387">
        <w:rPr>
          <w:szCs w:val="24"/>
          <w:lang w:eastAsia="en-GB"/>
        </w:rPr>
        <w:t>Casement’s reputation as a competent and diligent official had filtered back to London, and in the early 1890s the Foreign Office employed him in various parts of Africa, including the Congo. Again, the exact nature of his duties is unclear, though certainly he was “pursuing his slow quest of the Beast Leopold,” as one biographer puts it. Reports of atrocities had been filtering back to England. In April 1900 Casement wrote to the Foreign Office urging the British government to join with Germany “in putting an end to the veritable reign of terror which exists in the Congo.”</w:t>
      </w:r>
    </w:p>
    <w:p w:rsidR="00131387" w:rsidRPr="00131387" w:rsidRDefault="00131387" w:rsidP="003036D8">
      <w:pPr>
        <w:spacing w:before="100" w:beforeAutospacing="1" w:after="100" w:afterAutospacing="1" w:line="240" w:lineRule="auto"/>
        <w:jc w:val="both"/>
        <w:rPr>
          <w:szCs w:val="24"/>
          <w:lang w:eastAsia="en-GB"/>
        </w:rPr>
      </w:pPr>
      <w:r w:rsidRPr="00131387">
        <w:rPr>
          <w:szCs w:val="24"/>
          <w:lang w:eastAsia="en-GB"/>
        </w:rPr>
        <w:t xml:space="preserve">It was not until three years later, however, after questions on Leopold’s doings in Africa had been raised in the British House of </w:t>
      </w:r>
      <w:proofErr w:type="gramStart"/>
      <w:r w:rsidRPr="00131387">
        <w:rPr>
          <w:szCs w:val="24"/>
          <w:lang w:eastAsia="en-GB"/>
        </w:rPr>
        <w:t>Commons, that</w:t>
      </w:r>
      <w:proofErr w:type="gramEnd"/>
      <w:r w:rsidRPr="00131387">
        <w:rPr>
          <w:szCs w:val="24"/>
          <w:lang w:eastAsia="en-GB"/>
        </w:rPr>
        <w:t xml:space="preserve"> Casement was charged with gathering “authentic information” on the Congo. The report that he wrote, over eight days in a London hotel at the end of 1903, caused a public sensation, and a </w:t>
      </w:r>
      <w:proofErr w:type="spellStart"/>
      <w:r w:rsidRPr="00131387">
        <w:rPr>
          <w:szCs w:val="24"/>
          <w:lang w:eastAsia="en-GB"/>
        </w:rPr>
        <w:t>clamor</w:t>
      </w:r>
      <w:proofErr w:type="spellEnd"/>
      <w:r w:rsidRPr="00131387">
        <w:rPr>
          <w:szCs w:val="24"/>
          <w:lang w:eastAsia="en-GB"/>
        </w:rPr>
        <w:t xml:space="preserve"> for African reform. Famous figures such as Mark Twain and Arthur Conan Doyle joined in the protests, and Leopold was forced to commission a report of his own, much of which, on its publication in 1905, vindicated Casement, who in due course was knighted for his services in the Congo and, later, in South America. “As the British Empire reached its zenith at the dawn of the twentieth century,” Angus Mitchell writes, “it had given voice to a man who would prove to be its nemesis.”</w:t>
      </w:r>
    </w:p>
    <w:p w:rsidR="00131387" w:rsidRPr="00131387" w:rsidRDefault="00131387" w:rsidP="003036D8">
      <w:pPr>
        <w:spacing w:before="100" w:beforeAutospacing="1" w:after="100" w:afterAutospacing="1" w:line="240" w:lineRule="auto"/>
        <w:jc w:val="both"/>
        <w:rPr>
          <w:szCs w:val="24"/>
          <w:lang w:eastAsia="en-GB"/>
        </w:rPr>
      </w:pPr>
      <w:r w:rsidRPr="00131387">
        <w:rPr>
          <w:szCs w:val="24"/>
          <w:lang w:eastAsia="en-GB"/>
        </w:rPr>
        <w:t>Vargas Llosa weaves together his accounts of Casement’s African investigations and his dawning consciousness of himself as an Irish nationalist. He quotes a letter from Casement to his beloved cousin Gertrude Bannister, nicknamed Gee:</w:t>
      </w:r>
    </w:p>
    <w:p w:rsidR="00131387" w:rsidRPr="00131387" w:rsidRDefault="00131387" w:rsidP="003036D8">
      <w:pPr>
        <w:spacing w:after="100" w:line="240" w:lineRule="auto"/>
        <w:jc w:val="both"/>
        <w:rPr>
          <w:szCs w:val="24"/>
          <w:lang w:eastAsia="en-GB"/>
        </w:rPr>
      </w:pPr>
      <w:r w:rsidRPr="00131387">
        <w:rPr>
          <w:szCs w:val="24"/>
          <w:lang w:eastAsia="en-GB"/>
        </w:rPr>
        <w:t xml:space="preserve">Dear Gee, it may seem like another symptom of madness to you, but this journey into the depths of the Congo has been useful in helping me discover my own country and understand her situation, her destiny, her reality. In these jungles I’ve found not only the true face of Leopold II. I’ve also found my true self: the incorrigible Irishman. </w:t>
      </w:r>
    </w:p>
    <w:p w:rsidR="00131387" w:rsidRPr="00131387" w:rsidRDefault="00131387" w:rsidP="003036D8">
      <w:pPr>
        <w:spacing w:before="100" w:beforeAutospacing="1" w:after="100" w:afterAutospacing="1" w:line="240" w:lineRule="auto"/>
        <w:jc w:val="both"/>
        <w:rPr>
          <w:szCs w:val="24"/>
          <w:lang w:eastAsia="en-GB"/>
        </w:rPr>
      </w:pPr>
      <w:r w:rsidRPr="00131387">
        <w:rPr>
          <w:szCs w:val="24"/>
          <w:lang w:eastAsia="en-GB"/>
        </w:rPr>
        <w:lastRenderedPageBreak/>
        <w:t xml:space="preserve">In 1910 Casement, heading a commission of half a dozen experts on the Amazon region, was sent by the British government to investigate the rubber trade in the Putumayo basin of Peru, where atrocities—murder, floggings, mutilations, rape—remarkably similar to those in the Congo had been reported in the press. The most shocking allegations were directed at the firm of Julio C. Arana, registered on the London Stock Market as the Peruvian Amazon Company. What Casement and his commission found in Peru exceeded even the most lurid newspaper stories. The Putumayo was another hell on earth, administered by an assortment of devils, the most terrible of whom was Armando Normand, “a loathsome monster,” as Casement called him, who ran the rubber-collecting station at Matanzas on the </w:t>
      </w:r>
      <w:proofErr w:type="spellStart"/>
      <w:r w:rsidRPr="00131387">
        <w:rPr>
          <w:szCs w:val="24"/>
          <w:lang w:eastAsia="en-GB"/>
        </w:rPr>
        <w:t>Cahuinari</w:t>
      </w:r>
      <w:proofErr w:type="spellEnd"/>
      <w:r w:rsidRPr="00131387">
        <w:rPr>
          <w:szCs w:val="24"/>
          <w:lang w:eastAsia="en-GB"/>
        </w:rPr>
        <w:t xml:space="preserve"> River. Normand, perpetrator of unspeakable cruelties, most of them devised for his own amusement, was living proof of the contention that there is no limit to the </w:t>
      </w:r>
      <w:proofErr w:type="spellStart"/>
      <w:r w:rsidRPr="00131387">
        <w:rPr>
          <w:szCs w:val="24"/>
          <w:lang w:eastAsia="en-GB"/>
        </w:rPr>
        <w:t>wickednesses</w:t>
      </w:r>
      <w:proofErr w:type="spellEnd"/>
      <w:r w:rsidRPr="00131387">
        <w:rPr>
          <w:szCs w:val="24"/>
          <w:lang w:eastAsia="en-GB"/>
        </w:rPr>
        <w:t xml:space="preserve"> a person will perpetrate if given absolute power over other human beings.</w:t>
      </w:r>
    </w:p>
    <w:p w:rsidR="00131387" w:rsidRPr="00131387" w:rsidRDefault="00131387" w:rsidP="003036D8">
      <w:pPr>
        <w:spacing w:before="100" w:beforeAutospacing="1" w:after="100" w:afterAutospacing="1" w:line="240" w:lineRule="auto"/>
        <w:jc w:val="both"/>
        <w:rPr>
          <w:szCs w:val="24"/>
          <w:lang w:eastAsia="en-GB"/>
        </w:rPr>
      </w:pPr>
      <w:r w:rsidRPr="00131387">
        <w:rPr>
          <w:szCs w:val="24"/>
          <w:lang w:eastAsia="en-GB"/>
        </w:rPr>
        <w:t xml:space="preserve">Casement’s Putumayo report was published in July 1912 and like the Congo report brought an immediate public response. “I have blown up the Devil’s Paradise in Peru,” Casement wrote to his cousin Gertrude. The </w:t>
      </w:r>
      <w:r w:rsidRPr="00131387">
        <w:rPr>
          <w:i/>
          <w:iCs/>
          <w:szCs w:val="24"/>
          <w:lang w:eastAsia="en-GB"/>
        </w:rPr>
        <w:t>Times</w:t>
      </w:r>
      <w:r w:rsidRPr="00131387">
        <w:rPr>
          <w:szCs w:val="24"/>
          <w:lang w:eastAsia="en-GB"/>
        </w:rPr>
        <w:t xml:space="preserve"> of London devoted two columns and an editorial to the reports, and there were long articles in many other newspapers in England and abroad—there was even a sermon preached against Arana’s company in Westminster Abbey. In August the British House of Commons set up a select committee to investigate the affair; Casement was the chief witness, and gave powerful and persuasive evidence against Arana and his company. Much damage was done to the company as a result of public protests and the report of the select committee, but in the end international politics led to a fudge that allowed Arana to hold on to his power base. For all Casement’s efforts, the sufferings of the Indians of the Putumayo would continue.</w:t>
      </w:r>
    </w:p>
    <w:p w:rsidR="00131387" w:rsidRPr="00131387" w:rsidRDefault="00131387" w:rsidP="003036D8">
      <w:pPr>
        <w:spacing w:before="100" w:beforeAutospacing="1" w:after="100" w:afterAutospacing="1" w:line="240" w:lineRule="auto"/>
        <w:jc w:val="both"/>
        <w:rPr>
          <w:szCs w:val="24"/>
          <w:lang w:eastAsia="en-GB"/>
        </w:rPr>
      </w:pPr>
      <w:r w:rsidRPr="00131387">
        <w:rPr>
          <w:szCs w:val="24"/>
          <w:lang w:eastAsia="en-GB"/>
        </w:rPr>
        <w:t>While he was in Peru, Casement’s thoughts had returned again and again to Ireland. Vargas Llosa has him writing in his notebook at the time:</w:t>
      </w:r>
    </w:p>
    <w:p w:rsidR="00131387" w:rsidRPr="00131387" w:rsidRDefault="00131387" w:rsidP="003036D8">
      <w:pPr>
        <w:spacing w:after="100" w:line="240" w:lineRule="auto"/>
        <w:jc w:val="both"/>
        <w:rPr>
          <w:szCs w:val="24"/>
          <w:lang w:eastAsia="en-GB"/>
        </w:rPr>
      </w:pPr>
      <w:r w:rsidRPr="00131387">
        <w:rPr>
          <w:szCs w:val="24"/>
          <w:lang w:eastAsia="en-GB"/>
        </w:rPr>
        <w:t>We should not permit colonization to castrate the spirit of the Irish as it has castrated the spirit of the Amazonian Indians. We must act now, once and for all, before it is too late and we turn into automatons.</w:t>
      </w:r>
      <w:hyperlink r:id="rId16" w:anchor="fn-5" w:history="1">
        <w:r w:rsidRPr="00131387">
          <w:rPr>
            <w:color w:val="0000FF"/>
            <w:szCs w:val="24"/>
            <w:u w:val="single"/>
            <w:vertAlign w:val="superscript"/>
            <w:lang w:eastAsia="en-GB"/>
          </w:rPr>
          <w:t>5</w:t>
        </w:r>
      </w:hyperlink>
      <w:r w:rsidRPr="00131387">
        <w:rPr>
          <w:szCs w:val="24"/>
          <w:lang w:eastAsia="en-GB"/>
        </w:rPr>
        <w:t xml:space="preserve"> </w:t>
      </w:r>
    </w:p>
    <w:p w:rsidR="00131387" w:rsidRPr="00131387" w:rsidRDefault="00131387" w:rsidP="003036D8">
      <w:pPr>
        <w:spacing w:before="100" w:beforeAutospacing="1" w:after="100" w:afterAutospacing="1" w:line="240" w:lineRule="auto"/>
        <w:jc w:val="both"/>
        <w:rPr>
          <w:szCs w:val="24"/>
          <w:lang w:eastAsia="en-GB"/>
        </w:rPr>
      </w:pPr>
      <w:r w:rsidRPr="00131387">
        <w:rPr>
          <w:szCs w:val="24"/>
          <w:lang w:eastAsia="en-GB"/>
        </w:rPr>
        <w:t>It seems clear that in his mind Casement made a direct and strong connection between the state of Ireland and the plight of the native peoples of the Congo and Putumayo—it may be, indeed, that he thought to sublimate the frustrations of his campaigns abroad by throwing himself wholeheartedly into the struggle for Irish independence. He became deeply involved with the Irish Volunteers, and raised funds for them among influential friends and supporters in Britain and America.</w:t>
      </w:r>
    </w:p>
    <w:p w:rsidR="00131387" w:rsidRPr="00131387" w:rsidRDefault="00131387" w:rsidP="003036D8">
      <w:pPr>
        <w:spacing w:before="100" w:beforeAutospacing="1" w:after="100" w:afterAutospacing="1" w:line="240" w:lineRule="auto"/>
        <w:jc w:val="both"/>
        <w:rPr>
          <w:szCs w:val="24"/>
          <w:lang w:eastAsia="en-GB"/>
        </w:rPr>
      </w:pPr>
      <w:r w:rsidRPr="00131387">
        <w:rPr>
          <w:szCs w:val="24"/>
          <w:lang w:eastAsia="en-GB"/>
        </w:rPr>
        <w:t xml:space="preserve">In 1914 he </w:t>
      </w:r>
      <w:proofErr w:type="spellStart"/>
      <w:r w:rsidRPr="00131387">
        <w:rPr>
          <w:szCs w:val="24"/>
          <w:lang w:eastAsia="en-GB"/>
        </w:rPr>
        <w:t>traveled</w:t>
      </w:r>
      <w:proofErr w:type="spellEnd"/>
      <w:r w:rsidRPr="00131387">
        <w:rPr>
          <w:szCs w:val="24"/>
          <w:lang w:eastAsia="en-GB"/>
        </w:rPr>
        <w:t xml:space="preserve"> to Germany with the aim of forming an Irish Brigade, composed of Irishmen in the British army who had been captured by the Germans. Casement’s hope was that the brigade would be transported to Ireland by the German navy to join in the fight against the British forces of occupation. However, when he made a recruitment attempt at the Limburg prisoner-of-war camp, the main body of Irish prisoners spat upon and jostled him. The German government offered instead 20,000 rifles, but declined Casement’s request that German officers be sent to Ireland to train the volunteers and make of them a dependable fighting force. After spending more than a year and a half in Germany, he returned to Ireland in a German U-boat and landed secretly at Banna Strand in County Kerry, where, in ill health and exhausted by the journey, he was captured and sent to London for trial. Found guilty of </w:t>
      </w:r>
      <w:r w:rsidRPr="00131387">
        <w:rPr>
          <w:szCs w:val="24"/>
          <w:lang w:eastAsia="en-GB"/>
        </w:rPr>
        <w:lastRenderedPageBreak/>
        <w:t>treason against the Crown, he was sentenced to death and, despite widespread pleas for clemency, was hanged at Pentonville Prison on August 3, 1916.</w:t>
      </w:r>
    </w:p>
    <w:p w:rsidR="00131387" w:rsidRPr="00131387" w:rsidRDefault="00131387" w:rsidP="003036D8">
      <w:pPr>
        <w:spacing w:before="100" w:beforeAutospacing="1" w:after="100" w:afterAutospacing="1" w:line="240" w:lineRule="auto"/>
        <w:jc w:val="both"/>
        <w:rPr>
          <w:szCs w:val="24"/>
          <w:lang w:eastAsia="en-GB"/>
        </w:rPr>
      </w:pPr>
      <w:r w:rsidRPr="00131387">
        <w:rPr>
          <w:szCs w:val="24"/>
          <w:lang w:eastAsia="en-GB"/>
        </w:rPr>
        <w:t xml:space="preserve">In his memoirs the hangman, John Ellis, wrote of Casement: “He appeared to me the bravest man it fell to my unhappy lot to execute.” Nevertheless Casement was subjected to one final humiliation before </w:t>
      </w:r>
      <w:proofErr w:type="gramStart"/>
      <w:r w:rsidRPr="00131387">
        <w:rPr>
          <w:szCs w:val="24"/>
          <w:lang w:eastAsia="en-GB"/>
        </w:rPr>
        <w:t>burial,</w:t>
      </w:r>
      <w:proofErr w:type="gramEnd"/>
      <w:r w:rsidRPr="00131387">
        <w:rPr>
          <w:szCs w:val="24"/>
          <w:lang w:eastAsia="en-GB"/>
        </w:rPr>
        <w:t xml:space="preserve"> when, on the orders of the British authorities, the doctor present at the execution explored the anus of Casement’s corpse in order to confirm “the practices to which the executed man apparently was devoted.”</w:t>
      </w:r>
    </w:p>
    <w:p w:rsidR="00131387" w:rsidRPr="00131387" w:rsidRDefault="00131387" w:rsidP="003036D8">
      <w:pPr>
        <w:spacing w:before="100" w:beforeAutospacing="1" w:after="100" w:afterAutospacing="1" w:line="240" w:lineRule="auto"/>
        <w:jc w:val="both"/>
        <w:rPr>
          <w:szCs w:val="24"/>
          <w:lang w:eastAsia="en-GB"/>
        </w:rPr>
      </w:pPr>
      <w:r w:rsidRPr="00131387">
        <w:rPr>
          <w:i/>
          <w:iCs/>
          <w:szCs w:val="24"/>
          <w:lang w:eastAsia="en-GB"/>
        </w:rPr>
        <w:t>The Dream of the Celt</w:t>
      </w:r>
      <w:r w:rsidRPr="00131387">
        <w:rPr>
          <w:szCs w:val="24"/>
          <w:lang w:eastAsia="en-GB"/>
        </w:rPr>
        <w:t xml:space="preserve"> is, like its subject, stout-hearted, well-intentioned, tender, and somewhat naive. It is not in any real sense a novel, but is, rather, a biography overlaid with a light wash of novelistic speculation. It is an </w:t>
      </w:r>
      <w:proofErr w:type="spellStart"/>
      <w:r w:rsidRPr="00131387">
        <w:rPr>
          <w:szCs w:val="24"/>
          <w:lang w:eastAsia="en-GB"/>
        </w:rPr>
        <w:t>exoskeletal</w:t>
      </w:r>
      <w:proofErr w:type="spellEnd"/>
      <w:r w:rsidRPr="00131387">
        <w:rPr>
          <w:szCs w:val="24"/>
          <w:lang w:eastAsia="en-GB"/>
        </w:rPr>
        <w:t xml:space="preserve"> work, in that it wears its research on the outside. The author has read widely and diligently on his subject, but the material gathered, instead of being absorbed organically into the narrative, is presented to the reader in the form of raw data. The forays that Vargas Llosa makes into Casement’s thoughts and dreams, although warmly sympathetic, are less than inspired. The novelist has fallen in love with his subject, </w:t>
      </w:r>
      <w:proofErr w:type="gramStart"/>
      <w:r w:rsidRPr="00131387">
        <w:rPr>
          <w:szCs w:val="24"/>
          <w:lang w:eastAsia="en-GB"/>
        </w:rPr>
        <w:t>which</w:t>
      </w:r>
      <w:proofErr w:type="gramEnd"/>
      <w:r w:rsidRPr="00131387">
        <w:rPr>
          <w:szCs w:val="24"/>
          <w:lang w:eastAsia="en-GB"/>
        </w:rPr>
        <w:t xml:space="preserve"> is admirable, but his amatory approach does not help the novel.</w:t>
      </w:r>
    </w:p>
    <w:p w:rsidR="003036D8" w:rsidRDefault="00131387" w:rsidP="003036D8">
      <w:pPr>
        <w:spacing w:before="100" w:beforeAutospacing="1" w:after="100" w:afterAutospacing="1" w:line="240" w:lineRule="auto"/>
        <w:jc w:val="both"/>
        <w:rPr>
          <w:szCs w:val="24"/>
          <w:lang w:eastAsia="en-GB"/>
        </w:rPr>
      </w:pPr>
      <w:r w:rsidRPr="00131387">
        <w:rPr>
          <w:szCs w:val="24"/>
          <w:lang w:eastAsia="en-GB"/>
        </w:rPr>
        <w:t xml:space="preserve">Vargas Llosa would have done well to remember Henry James’s repeated injunction to himself in his notebooks: “Dramatize! Dramatize!” Yet Casement’s story is so absorbing, and the background against which it unfolds is so fascinating, that the reader will be swept along regardless of the novel’s flaws as a work of fiction. In </w:t>
      </w:r>
      <w:r w:rsidRPr="00131387">
        <w:rPr>
          <w:i/>
          <w:iCs/>
          <w:szCs w:val="24"/>
          <w:lang w:eastAsia="en-GB"/>
        </w:rPr>
        <w:t>The Dream of the Celt</w:t>
      </w:r>
      <w:r w:rsidRPr="00131387">
        <w:rPr>
          <w:szCs w:val="24"/>
          <w:lang w:eastAsia="en-GB"/>
        </w:rPr>
        <w:t>, for all its shortcomings, Mario Vargas Llosa has done an inestimable service to the memory of a great man.</w:t>
      </w:r>
    </w:p>
    <w:p w:rsidR="003036D8" w:rsidRPr="003036D8" w:rsidRDefault="00131387" w:rsidP="00811194">
      <w:pPr>
        <w:numPr>
          <w:ilvl w:val="0"/>
          <w:numId w:val="2"/>
        </w:numPr>
        <w:spacing w:before="100" w:beforeAutospacing="1" w:after="100" w:afterAutospacing="1" w:line="240" w:lineRule="auto"/>
        <w:jc w:val="both"/>
        <w:rPr>
          <w:sz w:val="16"/>
          <w:szCs w:val="16"/>
          <w:lang w:eastAsia="en-GB"/>
        </w:rPr>
      </w:pPr>
      <w:r w:rsidRPr="00131387">
        <w:rPr>
          <w:sz w:val="16"/>
          <w:szCs w:val="16"/>
          <w:lang w:eastAsia="en-GB"/>
        </w:rPr>
        <w:t>Mario Vargas Llosa seems to regard the sexual adventures recorded in the diaries as for the most part fantastical, as romantic daydreams to aid in masturbation, or as wishful attempts at self-consolation. There is little doubt, however, that Casement was an active homosexual; whether he was criminally culpable in his exploitation of the boys and young man whom he paid to engage in sex with him is for the reader, and the historian, to decide. </w:t>
      </w:r>
      <w:hyperlink r:id="rId17" w:anchor="fnr-1" w:tooltip="Jump back to footnote fn-1 in the text" w:history="1">
        <w:r w:rsidRPr="00131387">
          <w:rPr>
            <w:rFonts w:ascii="Cambria Math" w:hAnsi="Cambria Math" w:cs="Cambria Math"/>
            <w:color w:val="0000FF"/>
            <w:sz w:val="16"/>
            <w:szCs w:val="16"/>
            <w:u w:val="single"/>
            <w:lang w:eastAsia="en-GB"/>
          </w:rPr>
          <w:t>↩</w:t>
        </w:r>
      </w:hyperlink>
    </w:p>
    <w:p w:rsidR="003036D8" w:rsidRDefault="00131387" w:rsidP="00811194">
      <w:pPr>
        <w:numPr>
          <w:ilvl w:val="0"/>
          <w:numId w:val="2"/>
        </w:numPr>
        <w:spacing w:before="100" w:beforeAutospacing="1" w:after="100" w:afterAutospacing="1" w:line="240" w:lineRule="auto"/>
        <w:jc w:val="both"/>
        <w:rPr>
          <w:sz w:val="16"/>
          <w:szCs w:val="16"/>
          <w:lang w:eastAsia="en-GB"/>
        </w:rPr>
      </w:pPr>
      <w:r w:rsidRPr="003036D8">
        <w:rPr>
          <w:sz w:val="16"/>
          <w:szCs w:val="16"/>
          <w:lang w:eastAsia="en-GB"/>
        </w:rPr>
        <w:t xml:space="preserve">It is said that Kossuth had not even learned the name of the courier. Years later, however, in America, Kossuth was addressing a crowd from the steps of a train when another train passed by, from a window of which a hand appeared and presented him with a calling card. On it was printed the name “Mr Roger Casement,” and underneath was written in pencil: “I gave Palmerston the letter from </w:t>
      </w:r>
      <w:proofErr w:type="spellStart"/>
      <w:r w:rsidRPr="003036D8">
        <w:rPr>
          <w:sz w:val="16"/>
          <w:szCs w:val="16"/>
          <w:lang w:eastAsia="en-GB"/>
        </w:rPr>
        <w:t>Widdin</w:t>
      </w:r>
      <w:proofErr w:type="spellEnd"/>
      <w:r w:rsidRPr="003036D8">
        <w:rPr>
          <w:sz w:val="16"/>
          <w:szCs w:val="16"/>
          <w:lang w:eastAsia="en-GB"/>
        </w:rPr>
        <w:t xml:space="preserve">.” A fuller version of this </w:t>
      </w:r>
      <w:proofErr w:type="spellStart"/>
      <w:r w:rsidRPr="003036D8">
        <w:rPr>
          <w:sz w:val="16"/>
          <w:szCs w:val="16"/>
          <w:lang w:eastAsia="en-GB"/>
        </w:rPr>
        <w:t>marvelous</w:t>
      </w:r>
      <w:proofErr w:type="spellEnd"/>
      <w:r w:rsidRPr="003036D8">
        <w:rPr>
          <w:sz w:val="16"/>
          <w:szCs w:val="16"/>
          <w:lang w:eastAsia="en-GB"/>
        </w:rPr>
        <w:t xml:space="preserve"> story is to be found in B.L. Reid’s </w:t>
      </w:r>
      <w:r w:rsidRPr="003036D8">
        <w:rPr>
          <w:i/>
          <w:iCs/>
          <w:sz w:val="16"/>
          <w:szCs w:val="16"/>
          <w:lang w:eastAsia="en-GB"/>
        </w:rPr>
        <w:t>The Lives of Roger Casement</w:t>
      </w:r>
      <w:r w:rsidRPr="003036D8">
        <w:rPr>
          <w:sz w:val="16"/>
          <w:szCs w:val="16"/>
          <w:lang w:eastAsia="en-GB"/>
        </w:rPr>
        <w:t xml:space="preserve"> (Yale University Press, 1976), pp. 2–3. </w:t>
      </w:r>
      <w:hyperlink r:id="rId18" w:anchor="fnr-2" w:tooltip="Jump back to footnote fn-2 in the text" w:history="1">
        <w:r w:rsidRPr="003036D8">
          <w:rPr>
            <w:rFonts w:ascii="Cambria Math" w:hAnsi="Cambria Math" w:cs="Cambria Math"/>
            <w:color w:val="0000FF"/>
            <w:sz w:val="16"/>
            <w:szCs w:val="16"/>
            <w:u w:val="single"/>
            <w:lang w:eastAsia="en-GB"/>
          </w:rPr>
          <w:t>↩</w:t>
        </w:r>
      </w:hyperlink>
    </w:p>
    <w:p w:rsidR="003036D8" w:rsidRPr="00811194" w:rsidRDefault="00131387" w:rsidP="00811194">
      <w:pPr>
        <w:numPr>
          <w:ilvl w:val="0"/>
          <w:numId w:val="2"/>
        </w:numPr>
        <w:spacing w:before="100" w:beforeAutospacing="1" w:after="100" w:afterAutospacing="1" w:line="240" w:lineRule="auto"/>
        <w:jc w:val="both"/>
        <w:rPr>
          <w:sz w:val="16"/>
          <w:szCs w:val="16"/>
          <w:lang w:eastAsia="en-GB"/>
        </w:rPr>
      </w:pPr>
      <w:r w:rsidRPr="003036D8">
        <w:rPr>
          <w:sz w:val="16"/>
          <w:szCs w:val="16"/>
          <w:lang w:eastAsia="en-GB"/>
        </w:rPr>
        <w:t xml:space="preserve">Angus Mitchell, </w:t>
      </w:r>
      <w:r w:rsidRPr="003036D8">
        <w:rPr>
          <w:i/>
          <w:iCs/>
          <w:sz w:val="16"/>
          <w:szCs w:val="16"/>
          <w:lang w:eastAsia="en-GB"/>
        </w:rPr>
        <w:t>Casement</w:t>
      </w:r>
      <w:r w:rsidRPr="003036D8">
        <w:rPr>
          <w:sz w:val="16"/>
          <w:szCs w:val="16"/>
          <w:lang w:eastAsia="en-GB"/>
        </w:rPr>
        <w:t xml:space="preserve"> (London: Haus, 2003), p. 18. This is an excellent short survey not only of Casement the man but of the broad historical background to his life and work and tragic fate. </w:t>
      </w:r>
      <w:hyperlink r:id="rId19" w:anchor="fnr-3" w:tooltip="Jump back to footnote fn-3 in the text" w:history="1">
        <w:r w:rsidRPr="003036D8">
          <w:rPr>
            <w:rFonts w:ascii="Cambria Math" w:hAnsi="Cambria Math" w:cs="Cambria Math"/>
            <w:color w:val="0000FF"/>
            <w:sz w:val="16"/>
            <w:szCs w:val="16"/>
            <w:u w:val="single"/>
            <w:lang w:eastAsia="en-GB"/>
          </w:rPr>
          <w:t>↩</w:t>
        </w:r>
      </w:hyperlink>
    </w:p>
    <w:p w:rsidR="00811194" w:rsidRDefault="00811194" w:rsidP="00811194">
      <w:pPr>
        <w:numPr>
          <w:ilvl w:val="0"/>
          <w:numId w:val="1"/>
        </w:numPr>
        <w:spacing w:before="100" w:beforeAutospacing="1" w:after="100" w:afterAutospacing="1" w:line="240" w:lineRule="auto"/>
        <w:jc w:val="both"/>
        <w:rPr>
          <w:sz w:val="16"/>
          <w:szCs w:val="16"/>
          <w:lang w:eastAsia="en-GB"/>
        </w:rPr>
      </w:pPr>
      <w:r>
        <w:rPr>
          <w:sz w:val="16"/>
          <w:szCs w:val="16"/>
          <w:lang w:eastAsia="en-GB"/>
        </w:rPr>
        <w:t>B</w:t>
      </w:r>
      <w:r w:rsidR="00131387" w:rsidRPr="003036D8">
        <w:rPr>
          <w:sz w:val="16"/>
          <w:szCs w:val="16"/>
          <w:lang w:eastAsia="en-GB"/>
        </w:rPr>
        <w:t xml:space="preserve">rian Inglis, </w:t>
      </w:r>
      <w:r w:rsidR="00131387" w:rsidRPr="003036D8">
        <w:rPr>
          <w:i/>
          <w:iCs/>
          <w:sz w:val="16"/>
          <w:szCs w:val="16"/>
          <w:lang w:eastAsia="en-GB"/>
        </w:rPr>
        <w:t>Roger Casement</w:t>
      </w:r>
      <w:r w:rsidR="00131387" w:rsidRPr="003036D8">
        <w:rPr>
          <w:sz w:val="16"/>
          <w:szCs w:val="16"/>
          <w:lang w:eastAsia="en-GB"/>
        </w:rPr>
        <w:t xml:space="preserve"> (Harcourt Brace Jovanovich, 1973), p. 31. </w:t>
      </w:r>
      <w:hyperlink r:id="rId20" w:anchor="fnr-4" w:tooltip="Jump back to footnote fn-4 in the text" w:history="1">
        <w:r w:rsidR="00131387" w:rsidRPr="003036D8">
          <w:rPr>
            <w:rFonts w:ascii="Cambria Math" w:hAnsi="Cambria Math" w:cs="Cambria Math"/>
            <w:color w:val="0000FF"/>
            <w:sz w:val="16"/>
            <w:szCs w:val="16"/>
            <w:u w:val="single"/>
            <w:lang w:eastAsia="en-GB"/>
          </w:rPr>
          <w:t>↩</w:t>
        </w:r>
      </w:hyperlink>
    </w:p>
    <w:p w:rsidR="00131387" w:rsidRPr="00811194" w:rsidRDefault="00131387" w:rsidP="00811194">
      <w:pPr>
        <w:numPr>
          <w:ilvl w:val="0"/>
          <w:numId w:val="1"/>
        </w:numPr>
        <w:spacing w:before="100" w:beforeAutospacing="1" w:after="100" w:afterAutospacing="1" w:line="240" w:lineRule="auto"/>
        <w:jc w:val="both"/>
        <w:rPr>
          <w:sz w:val="16"/>
          <w:szCs w:val="16"/>
          <w:lang w:eastAsia="en-GB"/>
        </w:rPr>
      </w:pPr>
      <w:r w:rsidRPr="00811194">
        <w:rPr>
          <w:sz w:val="16"/>
          <w:szCs w:val="16"/>
          <w:lang w:eastAsia="en-GB"/>
        </w:rPr>
        <w:t xml:space="preserve">Since </w:t>
      </w:r>
      <w:r w:rsidRPr="00811194">
        <w:rPr>
          <w:i/>
          <w:iCs/>
          <w:sz w:val="16"/>
          <w:szCs w:val="16"/>
          <w:lang w:eastAsia="en-GB"/>
        </w:rPr>
        <w:t>The Dream of the Celt</w:t>
      </w:r>
      <w:r w:rsidRPr="00811194">
        <w:rPr>
          <w:sz w:val="16"/>
          <w:szCs w:val="16"/>
          <w:lang w:eastAsia="en-GB"/>
        </w:rPr>
        <w:t xml:space="preserve"> is a work of fiction we are not sure if such passages are direct quotations from Casement’s surviving papers or novelistic inventions, though we may assume they are factual, given Vargas Llosa’s adherence throughout his narrative to the facts of Casement’s life. </w:t>
      </w:r>
      <w:r w:rsidR="00811194">
        <w:fldChar w:fldCharType="begin"/>
      </w:r>
      <w:r w:rsidR="00811194">
        <w:instrText xml:space="preserve"> HYPERLINK </w:instrText>
      </w:r>
      <w:r w:rsidR="00811194">
        <w:instrText xml:space="preserve">"http://www.nybooks.com/articles/archives/2012/oct/25/rebel-hero-martyr/?pagination=false&amp;printpage=true" \l "fnr-5" \o "Jump back to footnote fn-5 in the text" </w:instrText>
      </w:r>
      <w:r w:rsidR="00811194">
        <w:fldChar w:fldCharType="separate"/>
      </w:r>
      <w:r w:rsidRPr="00811194">
        <w:rPr>
          <w:rFonts w:ascii="Cambria Math" w:hAnsi="Cambria Math" w:cs="Cambria Math"/>
          <w:color w:val="0000FF"/>
          <w:sz w:val="16"/>
          <w:szCs w:val="16"/>
          <w:u w:val="single"/>
          <w:lang w:eastAsia="en-GB"/>
        </w:rPr>
        <w:t>↩</w:t>
      </w:r>
      <w:r w:rsidR="00811194" w:rsidRPr="00811194">
        <w:rPr>
          <w:rFonts w:ascii="Cambria Math" w:hAnsi="Cambria Math" w:cs="Cambria Math"/>
          <w:color w:val="0000FF"/>
          <w:sz w:val="16"/>
          <w:szCs w:val="16"/>
          <w:u w:val="single"/>
          <w:lang w:eastAsia="en-GB"/>
        </w:rPr>
        <w:fldChar w:fldCharType="end"/>
      </w:r>
    </w:p>
    <w:p w:rsidR="00811194" w:rsidRDefault="00811194" w:rsidP="00131387">
      <w:pPr>
        <w:spacing w:before="100" w:beforeAutospacing="1" w:after="100" w:afterAutospacing="1" w:line="240" w:lineRule="auto"/>
        <w:ind w:left="720"/>
        <w:rPr>
          <w:rFonts w:ascii="Cambria Math" w:hAnsi="Cambria Math" w:cs="Cambria Math"/>
          <w:color w:val="0000FF"/>
          <w:sz w:val="16"/>
          <w:szCs w:val="16"/>
          <w:u w:val="single"/>
          <w:lang w:eastAsia="en-GB"/>
        </w:rPr>
      </w:pPr>
    </w:p>
    <w:p w:rsidR="00C056C8" w:rsidRDefault="00131387">
      <w:r>
        <w:rPr>
          <w:noProof/>
          <w:lang w:eastAsia="en-GB"/>
        </w:rPr>
        <w:lastRenderedPageBreak/>
        <w:drawing>
          <wp:inline distT="0" distB="0" distL="0" distR="0" wp14:anchorId="53F90135" wp14:editId="12B030F0">
            <wp:extent cx="4732020" cy="4762500"/>
            <wp:effectExtent l="0" t="0" r="0" b="0"/>
            <wp:docPr id="5" name="Picture 5" descr="http://assets.nybooks.com/media/photo/2012/10/04/banville_2-102512_jpg_497x500_crop_q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assets.nybooks.com/media/photo/2012/10/04/banville_2-102512_jpg_497x500_crop_q85.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732020" cy="4762500"/>
                    </a:xfrm>
                    <a:prstGeom prst="rect">
                      <a:avLst/>
                    </a:prstGeom>
                    <a:noFill/>
                    <a:ln>
                      <a:noFill/>
                    </a:ln>
                  </pic:spPr>
                </pic:pic>
              </a:graphicData>
            </a:graphic>
          </wp:inline>
        </w:drawing>
      </w:r>
    </w:p>
    <w:p w:rsidR="00131387" w:rsidRPr="00131387" w:rsidRDefault="00131387" w:rsidP="00131387">
      <w:pPr>
        <w:spacing w:before="100" w:beforeAutospacing="1" w:after="100" w:afterAutospacing="1" w:line="240" w:lineRule="auto"/>
        <w:rPr>
          <w:szCs w:val="24"/>
          <w:lang w:eastAsia="en-GB"/>
        </w:rPr>
      </w:pPr>
      <w:r w:rsidRPr="00131387">
        <w:rPr>
          <w:szCs w:val="24"/>
          <w:lang w:eastAsia="en-GB"/>
        </w:rPr>
        <w:t xml:space="preserve">Peter Marlow/Magnum Photos Mario Vargas Llosa, London, 2002 </w:t>
      </w:r>
    </w:p>
    <w:p w:rsidR="00131387" w:rsidRDefault="00131387"/>
    <w:sectPr w:rsidR="0013138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1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CF19BC"/>
    <w:multiLevelType w:val="multilevel"/>
    <w:tmpl w:val="FC6E8E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7E5902F8"/>
    <w:multiLevelType w:val="hybridMultilevel"/>
    <w:tmpl w:val="6A965EE2"/>
    <w:lvl w:ilvl="0" w:tplc="0038B8C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08CC"/>
    <w:rsid w:val="00131387"/>
    <w:rsid w:val="003036D8"/>
    <w:rsid w:val="00591367"/>
    <w:rsid w:val="00811194"/>
    <w:rsid w:val="008C43D8"/>
    <w:rsid w:val="008F245B"/>
    <w:rsid w:val="009808CC"/>
    <w:rsid w:val="00BE1B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313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138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313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138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3701641">
      <w:bodyDiv w:val="1"/>
      <w:marLeft w:val="0"/>
      <w:marRight w:val="0"/>
      <w:marTop w:val="0"/>
      <w:marBottom w:val="0"/>
      <w:divBdr>
        <w:top w:val="none" w:sz="0" w:space="0" w:color="auto"/>
        <w:left w:val="none" w:sz="0" w:space="0" w:color="auto"/>
        <w:bottom w:val="none" w:sz="0" w:space="0" w:color="auto"/>
        <w:right w:val="none" w:sz="0" w:space="0" w:color="auto"/>
      </w:divBdr>
      <w:divsChild>
        <w:div w:id="1870097059">
          <w:marLeft w:val="0"/>
          <w:marRight w:val="0"/>
          <w:marTop w:val="0"/>
          <w:marBottom w:val="0"/>
          <w:divBdr>
            <w:top w:val="none" w:sz="0" w:space="0" w:color="auto"/>
            <w:left w:val="none" w:sz="0" w:space="0" w:color="auto"/>
            <w:bottom w:val="none" w:sz="0" w:space="0" w:color="auto"/>
            <w:right w:val="none" w:sz="0" w:space="0" w:color="auto"/>
          </w:divBdr>
          <w:divsChild>
            <w:div w:id="1345593972">
              <w:marLeft w:val="0"/>
              <w:marRight w:val="0"/>
              <w:marTop w:val="0"/>
              <w:marBottom w:val="0"/>
              <w:divBdr>
                <w:top w:val="none" w:sz="0" w:space="0" w:color="auto"/>
                <w:left w:val="none" w:sz="0" w:space="0" w:color="auto"/>
                <w:bottom w:val="none" w:sz="0" w:space="0" w:color="auto"/>
                <w:right w:val="none" w:sz="0" w:space="0" w:color="auto"/>
              </w:divBdr>
              <w:divsChild>
                <w:div w:id="561716828">
                  <w:marLeft w:val="0"/>
                  <w:marRight w:val="0"/>
                  <w:marTop w:val="0"/>
                  <w:marBottom w:val="0"/>
                  <w:divBdr>
                    <w:top w:val="none" w:sz="0" w:space="0" w:color="auto"/>
                    <w:left w:val="none" w:sz="0" w:space="0" w:color="auto"/>
                    <w:bottom w:val="none" w:sz="0" w:space="0" w:color="auto"/>
                    <w:right w:val="none" w:sz="0" w:space="0" w:color="auto"/>
                  </w:divBdr>
                </w:div>
              </w:divsChild>
            </w:div>
            <w:div w:id="987056192">
              <w:marLeft w:val="0"/>
              <w:marRight w:val="0"/>
              <w:marTop w:val="0"/>
              <w:marBottom w:val="0"/>
              <w:divBdr>
                <w:top w:val="none" w:sz="0" w:space="0" w:color="auto"/>
                <w:left w:val="none" w:sz="0" w:space="0" w:color="auto"/>
                <w:bottom w:val="none" w:sz="0" w:space="0" w:color="auto"/>
                <w:right w:val="none" w:sz="0" w:space="0" w:color="auto"/>
              </w:divBdr>
              <w:divsChild>
                <w:div w:id="1426224474">
                  <w:marLeft w:val="0"/>
                  <w:marRight w:val="0"/>
                  <w:marTop w:val="0"/>
                  <w:marBottom w:val="0"/>
                  <w:divBdr>
                    <w:top w:val="none" w:sz="0" w:space="0" w:color="auto"/>
                    <w:left w:val="none" w:sz="0" w:space="0" w:color="auto"/>
                    <w:bottom w:val="none" w:sz="0" w:space="0" w:color="auto"/>
                    <w:right w:val="none" w:sz="0" w:space="0" w:color="auto"/>
                  </w:divBdr>
                  <w:divsChild>
                    <w:div w:id="506792349">
                      <w:marLeft w:val="0"/>
                      <w:marRight w:val="0"/>
                      <w:marTop w:val="0"/>
                      <w:marBottom w:val="0"/>
                      <w:divBdr>
                        <w:top w:val="none" w:sz="0" w:space="0" w:color="auto"/>
                        <w:left w:val="none" w:sz="0" w:space="0" w:color="auto"/>
                        <w:bottom w:val="none" w:sz="0" w:space="0" w:color="auto"/>
                        <w:right w:val="none" w:sz="0" w:space="0" w:color="auto"/>
                      </w:divBdr>
                      <w:divsChild>
                        <w:div w:id="1028457756">
                          <w:marLeft w:val="0"/>
                          <w:marRight w:val="0"/>
                          <w:marTop w:val="0"/>
                          <w:marBottom w:val="0"/>
                          <w:divBdr>
                            <w:top w:val="none" w:sz="0" w:space="0" w:color="auto"/>
                            <w:left w:val="none" w:sz="0" w:space="0" w:color="auto"/>
                            <w:bottom w:val="none" w:sz="0" w:space="0" w:color="auto"/>
                            <w:right w:val="none" w:sz="0" w:space="0" w:color="auto"/>
                          </w:divBdr>
                        </w:div>
                        <w:div w:id="2028678768">
                          <w:marLeft w:val="0"/>
                          <w:marRight w:val="0"/>
                          <w:marTop w:val="0"/>
                          <w:marBottom w:val="0"/>
                          <w:divBdr>
                            <w:top w:val="none" w:sz="0" w:space="0" w:color="auto"/>
                            <w:left w:val="none" w:sz="0" w:space="0" w:color="auto"/>
                            <w:bottom w:val="none" w:sz="0" w:space="0" w:color="auto"/>
                            <w:right w:val="none" w:sz="0" w:space="0" w:color="auto"/>
                          </w:divBdr>
                          <w:divsChild>
                            <w:div w:id="205530061">
                              <w:marLeft w:val="0"/>
                              <w:marRight w:val="0"/>
                              <w:marTop w:val="0"/>
                              <w:marBottom w:val="0"/>
                              <w:divBdr>
                                <w:top w:val="none" w:sz="0" w:space="0" w:color="auto"/>
                                <w:left w:val="none" w:sz="0" w:space="0" w:color="auto"/>
                                <w:bottom w:val="none" w:sz="0" w:space="0" w:color="auto"/>
                                <w:right w:val="none" w:sz="0" w:space="0" w:color="auto"/>
                              </w:divBdr>
                            </w:div>
                            <w:div w:id="1916165890">
                              <w:marLeft w:val="0"/>
                              <w:marRight w:val="0"/>
                              <w:marTop w:val="0"/>
                              <w:marBottom w:val="0"/>
                              <w:divBdr>
                                <w:top w:val="none" w:sz="0" w:space="0" w:color="auto"/>
                                <w:left w:val="none" w:sz="0" w:space="0" w:color="auto"/>
                                <w:bottom w:val="none" w:sz="0" w:space="0" w:color="auto"/>
                                <w:right w:val="none" w:sz="0" w:space="0" w:color="auto"/>
                              </w:divBdr>
                              <w:divsChild>
                                <w:div w:id="1225413079">
                                  <w:marLeft w:val="0"/>
                                  <w:marRight w:val="0"/>
                                  <w:marTop w:val="0"/>
                                  <w:marBottom w:val="0"/>
                                  <w:divBdr>
                                    <w:top w:val="none" w:sz="0" w:space="0" w:color="auto"/>
                                    <w:left w:val="none" w:sz="0" w:space="0" w:color="auto"/>
                                    <w:bottom w:val="none" w:sz="0" w:space="0" w:color="auto"/>
                                    <w:right w:val="none" w:sz="0" w:space="0" w:color="auto"/>
                                  </w:divBdr>
                                  <w:divsChild>
                                    <w:div w:id="305278300">
                                      <w:marLeft w:val="0"/>
                                      <w:marRight w:val="0"/>
                                      <w:marTop w:val="0"/>
                                      <w:marBottom w:val="0"/>
                                      <w:divBdr>
                                        <w:top w:val="none" w:sz="0" w:space="0" w:color="auto"/>
                                        <w:left w:val="none" w:sz="0" w:space="0" w:color="auto"/>
                                        <w:bottom w:val="none" w:sz="0" w:space="0" w:color="auto"/>
                                        <w:right w:val="none" w:sz="0" w:space="0" w:color="auto"/>
                                      </w:divBdr>
                                    </w:div>
                                  </w:divsChild>
                                </w:div>
                                <w:div w:id="1355694553">
                                  <w:blockQuote w:val="1"/>
                                  <w:marLeft w:val="720"/>
                                  <w:marRight w:val="720"/>
                                  <w:marTop w:val="100"/>
                                  <w:marBottom w:val="100"/>
                                  <w:divBdr>
                                    <w:top w:val="none" w:sz="0" w:space="0" w:color="auto"/>
                                    <w:left w:val="none" w:sz="0" w:space="0" w:color="auto"/>
                                    <w:bottom w:val="none" w:sz="0" w:space="0" w:color="auto"/>
                                    <w:right w:val="none" w:sz="0" w:space="0" w:color="auto"/>
                                  </w:divBdr>
                                </w:div>
                                <w:div w:id="27295133">
                                  <w:marLeft w:val="0"/>
                                  <w:marRight w:val="0"/>
                                  <w:marTop w:val="0"/>
                                  <w:marBottom w:val="0"/>
                                  <w:divBdr>
                                    <w:top w:val="none" w:sz="0" w:space="0" w:color="auto"/>
                                    <w:left w:val="none" w:sz="0" w:space="0" w:color="auto"/>
                                    <w:bottom w:val="none" w:sz="0" w:space="0" w:color="auto"/>
                                    <w:right w:val="none" w:sz="0" w:space="0" w:color="auto"/>
                                  </w:divBdr>
                                  <w:divsChild>
                                    <w:div w:id="1280800676">
                                      <w:marLeft w:val="0"/>
                                      <w:marRight w:val="0"/>
                                      <w:marTop w:val="0"/>
                                      <w:marBottom w:val="0"/>
                                      <w:divBdr>
                                        <w:top w:val="none" w:sz="0" w:space="0" w:color="auto"/>
                                        <w:left w:val="none" w:sz="0" w:space="0" w:color="auto"/>
                                        <w:bottom w:val="none" w:sz="0" w:space="0" w:color="auto"/>
                                        <w:right w:val="none" w:sz="0" w:space="0" w:color="auto"/>
                                      </w:divBdr>
                                    </w:div>
                                  </w:divsChild>
                                </w:div>
                                <w:div w:id="385033345">
                                  <w:blockQuote w:val="1"/>
                                  <w:marLeft w:val="720"/>
                                  <w:marRight w:val="720"/>
                                  <w:marTop w:val="100"/>
                                  <w:marBottom w:val="100"/>
                                  <w:divBdr>
                                    <w:top w:val="none" w:sz="0" w:space="0" w:color="auto"/>
                                    <w:left w:val="none" w:sz="0" w:space="0" w:color="auto"/>
                                    <w:bottom w:val="none" w:sz="0" w:space="0" w:color="auto"/>
                                    <w:right w:val="none" w:sz="0" w:space="0" w:color="auto"/>
                                  </w:divBdr>
                                </w:div>
                                <w:div w:id="1854344495">
                                  <w:blockQuote w:val="1"/>
                                  <w:marLeft w:val="720"/>
                                  <w:marRight w:val="720"/>
                                  <w:marTop w:val="100"/>
                                  <w:marBottom w:val="100"/>
                                  <w:divBdr>
                                    <w:top w:val="none" w:sz="0" w:space="0" w:color="auto"/>
                                    <w:left w:val="none" w:sz="0" w:space="0" w:color="auto"/>
                                    <w:bottom w:val="none" w:sz="0" w:space="0" w:color="auto"/>
                                    <w:right w:val="none" w:sz="0" w:space="0" w:color="auto"/>
                                  </w:divBdr>
                                </w:div>
                                <w:div w:id="1038504588">
                                  <w:blockQuote w:val="1"/>
                                  <w:marLeft w:val="720"/>
                                  <w:marRight w:val="720"/>
                                  <w:marTop w:val="100"/>
                                  <w:marBottom w:val="100"/>
                                  <w:divBdr>
                                    <w:top w:val="none" w:sz="0" w:space="0" w:color="auto"/>
                                    <w:left w:val="none" w:sz="0" w:space="0" w:color="auto"/>
                                    <w:bottom w:val="none" w:sz="0" w:space="0" w:color="auto"/>
                                    <w:right w:val="none" w:sz="0" w:space="0" w:color="auto"/>
                                  </w:divBdr>
                                </w:div>
                                <w:div w:id="1703555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68289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6243378">
          <w:marLeft w:val="0"/>
          <w:marRight w:val="0"/>
          <w:marTop w:val="0"/>
          <w:marBottom w:val="0"/>
          <w:divBdr>
            <w:top w:val="none" w:sz="0" w:space="0" w:color="auto"/>
            <w:left w:val="none" w:sz="0" w:space="0" w:color="auto"/>
            <w:bottom w:val="none" w:sz="0" w:space="0" w:color="auto"/>
            <w:right w:val="none" w:sz="0" w:space="0" w:color="auto"/>
          </w:divBdr>
          <w:divsChild>
            <w:div w:id="1180896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mazon.com/gp/product/0374143463?ie=UTF8&amp;tag=thneyoreofbo-20&amp;linkCode=as2&amp;camp=1789&amp;creative=9325&amp;creativeASIN=0374143463" TargetMode="External"/><Relationship Id="rId13" Type="http://schemas.openxmlformats.org/officeDocument/2006/relationships/hyperlink" Target="http://www.nybooks.com/articles/archives/2012/oct/25/rebel-hero-martyr/?pagination=false&amp;printpage=true" TargetMode="External"/><Relationship Id="rId18" Type="http://schemas.openxmlformats.org/officeDocument/2006/relationships/hyperlink" Target="http://www.nybooks.com/articles/archives/2012/oct/25/rebel-hero-martyr/?pagination=false&amp;printpage=true" TargetMode="External"/><Relationship Id="rId3" Type="http://schemas.microsoft.com/office/2007/relationships/stylesWithEffects" Target="stylesWithEffects.xml"/><Relationship Id="rId21" Type="http://schemas.openxmlformats.org/officeDocument/2006/relationships/image" Target="media/image3.jpeg"/><Relationship Id="rId7" Type="http://schemas.openxmlformats.org/officeDocument/2006/relationships/hyperlink" Target="http://www.nybooks.com/contributors/john-banville-2/" TargetMode="External"/><Relationship Id="rId12" Type="http://schemas.openxmlformats.org/officeDocument/2006/relationships/hyperlink" Target="http://www.nybooks.com/articles/archives/2012/oct/25/rebel-hero-martyr/?pagination=false&amp;printpage=true" TargetMode="External"/><Relationship Id="rId17" Type="http://schemas.openxmlformats.org/officeDocument/2006/relationships/hyperlink" Target="http://www.nybooks.com/articles/archives/2012/oct/25/rebel-hero-martyr/?pagination=false&amp;printpage=true" TargetMode="External"/><Relationship Id="rId2" Type="http://schemas.openxmlformats.org/officeDocument/2006/relationships/styles" Target="styles.xml"/><Relationship Id="rId16" Type="http://schemas.openxmlformats.org/officeDocument/2006/relationships/hyperlink" Target="http://www.nybooks.com/articles/archives/2012/oct/25/rebel-hero-martyr/?pagination=false&amp;printpage=true" TargetMode="External"/><Relationship Id="rId20" Type="http://schemas.openxmlformats.org/officeDocument/2006/relationships/hyperlink" Target="http://www.nybooks.com/articles/archives/2012/oct/25/rebel-hero-martyr/?pagination=false&amp;printpage=true" TargetMode="External"/><Relationship Id="rId1" Type="http://schemas.openxmlformats.org/officeDocument/2006/relationships/numbering" Target="numbering.xml"/><Relationship Id="rId6" Type="http://schemas.openxmlformats.org/officeDocument/2006/relationships/hyperlink" Target="http://www.nybooks.com/issues/2012/oct/25/" TargetMode="Externa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yperlink" Target="http://www.nybooks.com/articles/archives/2012/oct/25/rebel-hero-martyr/?pagination=false&amp;printpage=true" TargetMode="External"/><Relationship Id="rId23" Type="http://schemas.openxmlformats.org/officeDocument/2006/relationships/theme" Target="theme/theme1.xml"/><Relationship Id="rId10" Type="http://schemas.openxmlformats.org/officeDocument/2006/relationships/hyperlink" Target="http://www.nybooks.com/multimedia/view-photo/3437" TargetMode="External"/><Relationship Id="rId19" Type="http://schemas.openxmlformats.org/officeDocument/2006/relationships/hyperlink" Target="http://www.nybooks.com/articles/archives/2012/oct/25/rebel-hero-martyr/?pagination=false&amp;printpage=true" TargetMode="External"/><Relationship Id="rId4" Type="http://schemas.openxmlformats.org/officeDocument/2006/relationships/settings" Target="settings.xml"/><Relationship Id="rId9" Type="http://schemas.openxmlformats.org/officeDocument/2006/relationships/image" Target="media/image1.gif"/><Relationship Id="rId14" Type="http://schemas.openxmlformats.org/officeDocument/2006/relationships/hyperlink" Target="http://www.nybooks.com/articles/archives/2012/oct/25/rebel-hero-martyr/?pagination=false&amp;printpage=true"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8</Pages>
  <Words>3770</Words>
  <Characters>21489</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zzz</cp:lastModifiedBy>
  <cp:revision>3</cp:revision>
  <dcterms:created xsi:type="dcterms:W3CDTF">2012-12-04T00:49:00Z</dcterms:created>
  <dcterms:modified xsi:type="dcterms:W3CDTF">2013-06-08T13:27:00Z</dcterms:modified>
</cp:coreProperties>
</file>