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40" w:rsidRDefault="00873B40" w:rsidP="00873B40">
      <w:pPr>
        <w:pStyle w:val="NoSpacing"/>
        <w:rPr>
          <w:b/>
        </w:rPr>
      </w:pPr>
      <w:r w:rsidRPr="00873B40">
        <w:rPr>
          <w:b/>
        </w:rPr>
        <w:t xml:space="preserve">HISTORY IRELAND </w:t>
      </w:r>
      <w:r>
        <w:rPr>
          <w:b/>
        </w:rPr>
        <w:t>(Vol 24/4)</w:t>
      </w:r>
    </w:p>
    <w:p w:rsidR="00E93366" w:rsidRDefault="00E93366" w:rsidP="00873B40">
      <w:pPr>
        <w:pStyle w:val="NoSpacing"/>
        <w:rPr>
          <w:b/>
        </w:rPr>
      </w:pPr>
      <w:r w:rsidRPr="00873B40">
        <w:rPr>
          <w:b/>
        </w:rPr>
        <w:t>JULY/AUGUST 2016</w:t>
      </w:r>
    </w:p>
    <w:p w:rsidR="00E93366" w:rsidRPr="00873B40" w:rsidRDefault="00E93366" w:rsidP="00873B40">
      <w:pPr>
        <w:pStyle w:val="NoSpacing"/>
        <w:rPr>
          <w:b/>
        </w:rPr>
      </w:pPr>
    </w:p>
    <w:p w:rsidR="00E93366" w:rsidRDefault="00873B40" w:rsidP="00873B40">
      <w:pPr>
        <w:pStyle w:val="NoSpacing"/>
        <w:rPr>
          <w:b/>
        </w:rPr>
      </w:pPr>
      <w:r w:rsidRPr="00873B40">
        <w:rPr>
          <w:b/>
        </w:rPr>
        <w:t xml:space="preserve">CASEMENT ARTICLES </w:t>
      </w:r>
      <w:r>
        <w:rPr>
          <w:b/>
        </w:rPr>
        <w:t>BY PAUL HYDE AND ANGUS MITCHELL</w:t>
      </w:r>
    </w:p>
    <w:p w:rsidR="00E93366" w:rsidRDefault="00E93366" w:rsidP="00873B40">
      <w:pPr>
        <w:pStyle w:val="NoSpacing"/>
        <w:rPr>
          <w:b/>
        </w:rPr>
      </w:pPr>
    </w:p>
    <w:p w:rsidR="00E93366" w:rsidRDefault="00E93366" w:rsidP="00E93366">
      <w:pPr>
        <w:pStyle w:val="NoSpacing"/>
      </w:pPr>
      <w:r>
        <w:t>[I responded to the Paul Hyde article on the finding of the diaries]</w:t>
      </w:r>
    </w:p>
    <w:p w:rsidR="00E93366" w:rsidRDefault="00E93366" w:rsidP="00E93366">
      <w:pPr>
        <w:pStyle w:val="NoSpacing"/>
      </w:pPr>
    </w:p>
    <w:p w:rsidR="00E93366" w:rsidRPr="00873B40" w:rsidRDefault="00873B40" w:rsidP="00873B40">
      <w:pPr>
        <w:pStyle w:val="NoSpacing"/>
        <w:rPr>
          <w:b/>
        </w:rPr>
      </w:pPr>
      <w:r>
        <w:rPr>
          <w:b/>
        </w:rPr>
        <w:t>JEFFREY DUDGEON 2</w:t>
      </w:r>
      <w:r w:rsidRPr="00873B40">
        <w:rPr>
          <w:b/>
          <w:vertAlign w:val="superscript"/>
        </w:rPr>
        <w:t>ND</w:t>
      </w:r>
      <w:r>
        <w:rPr>
          <w:b/>
        </w:rPr>
        <w:t xml:space="preserve"> EDITION LISTING </w:t>
      </w:r>
      <w:bookmarkStart w:id="0" w:name="_GoBack"/>
      <w:bookmarkEnd w:id="0"/>
    </w:p>
    <w:p w:rsidR="00216CDA" w:rsidRDefault="00216CDA" w:rsidP="00873B40">
      <w:pPr>
        <w:pStyle w:val="NoSpacing"/>
      </w:pPr>
    </w:p>
    <w:p w:rsidR="008B0F95" w:rsidRDefault="00E93366" w:rsidP="008B0F95">
      <w:pPr>
        <w:jc w:val="both"/>
      </w:pPr>
      <w:hyperlink r:id="rId5" w:history="1">
        <w:r w:rsidR="008B0F95" w:rsidRPr="0054496B">
          <w:rPr>
            <w:rStyle w:val="Hyperlink"/>
          </w:rPr>
          <w:t>http://www.historyireland.com/volume-24/reputations-roger-casement-history-question/</w:t>
        </w:r>
      </w:hyperlink>
    </w:p>
    <w:p w:rsidR="00873B40" w:rsidRDefault="00873B40" w:rsidP="00873B40">
      <w:pPr>
        <w:spacing w:before="100" w:beforeAutospacing="1" w:after="100" w:afterAutospacing="1" w:line="240" w:lineRule="auto"/>
        <w:jc w:val="center"/>
        <w:outlineLvl w:val="0"/>
        <w:rPr>
          <w:b/>
          <w:bCs/>
          <w:kern w:val="36"/>
          <w:sz w:val="28"/>
          <w:szCs w:val="28"/>
          <w:lang w:eastAsia="en-GB"/>
        </w:rPr>
      </w:pPr>
      <w:r w:rsidRPr="006B24A8">
        <w:rPr>
          <w:noProof/>
          <w:szCs w:val="24"/>
          <w:lang w:eastAsia="en-GB"/>
        </w:rPr>
        <w:drawing>
          <wp:inline distT="0" distB="0" distL="0" distR="0" wp14:anchorId="5E0AD612" wp14:editId="60C360DB">
            <wp:extent cx="1981200" cy="2857500"/>
            <wp:effectExtent l="0" t="0" r="0" b="0"/>
            <wp:docPr id="1" name="Picture 1" descr="SIR-ROGER-C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ROGER-CAS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2857500"/>
                    </a:xfrm>
                    <a:prstGeom prst="rect">
                      <a:avLst/>
                    </a:prstGeom>
                    <a:noFill/>
                    <a:ln>
                      <a:noFill/>
                    </a:ln>
                  </pic:spPr>
                </pic:pic>
              </a:graphicData>
            </a:graphic>
          </wp:inline>
        </w:drawing>
      </w:r>
    </w:p>
    <w:p w:rsidR="008B0F95" w:rsidRPr="00873B40" w:rsidRDefault="008B0F95" w:rsidP="00873B40">
      <w:pPr>
        <w:spacing w:before="100" w:beforeAutospacing="1" w:after="100" w:afterAutospacing="1" w:line="240" w:lineRule="auto"/>
        <w:jc w:val="center"/>
        <w:outlineLvl w:val="0"/>
        <w:rPr>
          <w:b/>
          <w:bCs/>
          <w:kern w:val="36"/>
          <w:sz w:val="28"/>
          <w:szCs w:val="28"/>
          <w:lang w:eastAsia="en-GB"/>
        </w:rPr>
      </w:pPr>
      <w:r w:rsidRPr="00873B40">
        <w:rPr>
          <w:b/>
          <w:bCs/>
          <w:kern w:val="36"/>
          <w:sz w:val="28"/>
          <w:szCs w:val="28"/>
          <w:lang w:eastAsia="en-GB"/>
        </w:rPr>
        <w:t>REVISION: Casement tried and tested—the Giles Report on the Black Diaries</w:t>
      </w:r>
    </w:p>
    <w:p w:rsidR="008B0F95" w:rsidRPr="008B0F95" w:rsidRDefault="008B0F95" w:rsidP="00873B40">
      <w:pPr>
        <w:spacing w:before="100" w:beforeAutospacing="1" w:after="100" w:afterAutospacing="1" w:line="240" w:lineRule="auto"/>
        <w:jc w:val="center"/>
        <w:outlineLvl w:val="2"/>
        <w:rPr>
          <w:b/>
          <w:bCs/>
          <w:sz w:val="27"/>
          <w:szCs w:val="27"/>
          <w:lang w:eastAsia="en-GB"/>
        </w:rPr>
      </w:pPr>
      <w:r w:rsidRPr="008B0F95">
        <w:rPr>
          <w:b/>
          <w:bCs/>
          <w:sz w:val="27"/>
          <w:szCs w:val="27"/>
          <w:lang w:eastAsia="en-GB"/>
        </w:rPr>
        <w:t>A VERBAL SMOKESCREEN OF AMBIGUITY, REPETITIONS, IRRELEVANT DATA, DECEPTIONS, OMISSIONS, EX CATHEDRA PRONOUNCEMENTS AND DISINFORMATION</w:t>
      </w:r>
    </w:p>
    <w:p w:rsidR="00873B40" w:rsidRPr="008B0F95" w:rsidRDefault="00873B40" w:rsidP="00873B40">
      <w:pPr>
        <w:spacing w:after="0" w:line="240" w:lineRule="auto"/>
        <w:rPr>
          <w:szCs w:val="24"/>
          <w:lang w:eastAsia="en-GB"/>
        </w:rPr>
      </w:pPr>
      <w:r w:rsidRPr="008B0F95">
        <w:rPr>
          <w:szCs w:val="24"/>
          <w:lang w:eastAsia="en-GB"/>
        </w:rPr>
        <w:t xml:space="preserve">Published in </w:t>
      </w:r>
      <w:hyperlink r:id="rId7" w:history="1">
        <w:r w:rsidRPr="008B0F95">
          <w:rPr>
            <w:color w:val="0000FF"/>
            <w:szCs w:val="24"/>
            <w:u w:val="single"/>
            <w:lang w:eastAsia="en-GB"/>
          </w:rPr>
          <w:t>Features</w:t>
        </w:r>
      </w:hyperlink>
      <w:r w:rsidRPr="008B0F95">
        <w:rPr>
          <w:szCs w:val="24"/>
          <w:lang w:eastAsia="en-GB"/>
        </w:rPr>
        <w:t xml:space="preserve">, </w:t>
      </w:r>
      <w:hyperlink r:id="rId8" w:history="1">
        <w:r w:rsidRPr="008B0F95">
          <w:rPr>
            <w:color w:val="0000FF"/>
            <w:szCs w:val="24"/>
            <w:u w:val="single"/>
            <w:lang w:eastAsia="en-GB"/>
          </w:rPr>
          <w:t>Issue 4 (July/August 2016)</w:t>
        </w:r>
      </w:hyperlink>
      <w:r w:rsidRPr="008B0F95">
        <w:rPr>
          <w:szCs w:val="24"/>
          <w:lang w:eastAsia="en-GB"/>
        </w:rPr>
        <w:t xml:space="preserve">, </w:t>
      </w:r>
      <w:hyperlink r:id="rId9" w:history="1">
        <w:r w:rsidRPr="008B0F95">
          <w:rPr>
            <w:color w:val="0000FF"/>
            <w:szCs w:val="24"/>
            <w:u w:val="single"/>
            <w:lang w:eastAsia="en-GB"/>
          </w:rPr>
          <w:t>Volume 24</w:t>
        </w:r>
      </w:hyperlink>
      <w:r w:rsidRPr="008B0F95">
        <w:rPr>
          <w:szCs w:val="24"/>
          <w:lang w:eastAsia="en-GB"/>
        </w:rPr>
        <w:t xml:space="preserve"> </w:t>
      </w:r>
    </w:p>
    <w:p w:rsidR="008B0F95" w:rsidRPr="008B0F95" w:rsidRDefault="008B0F95" w:rsidP="008B0F95">
      <w:pPr>
        <w:spacing w:before="100" w:beforeAutospacing="1" w:after="100" w:afterAutospacing="1" w:line="240" w:lineRule="auto"/>
        <w:jc w:val="both"/>
        <w:rPr>
          <w:sz w:val="32"/>
          <w:szCs w:val="32"/>
          <w:lang w:eastAsia="en-GB"/>
        </w:rPr>
      </w:pPr>
      <w:r w:rsidRPr="008B0F95">
        <w:rPr>
          <w:i/>
          <w:iCs/>
          <w:sz w:val="32"/>
          <w:szCs w:val="32"/>
          <w:lang w:eastAsia="en-GB"/>
        </w:rPr>
        <w:t>By Paul Hyde</w:t>
      </w:r>
    </w:p>
    <w:p w:rsidR="008B0F95" w:rsidRPr="008B0F95" w:rsidRDefault="008B0F95" w:rsidP="008B0F95">
      <w:pPr>
        <w:spacing w:before="100" w:beforeAutospacing="1" w:after="100" w:afterAutospacing="1" w:line="240" w:lineRule="auto"/>
        <w:jc w:val="both"/>
        <w:rPr>
          <w:szCs w:val="24"/>
          <w:lang w:eastAsia="en-GB"/>
        </w:rPr>
      </w:pPr>
      <w:r w:rsidRPr="008B0F95">
        <w:rPr>
          <w:szCs w:val="24"/>
          <w:lang w:eastAsia="en-GB"/>
        </w:rPr>
        <w:t xml:space="preserve">The results of the 1959 test cannot be found; the 1972 test was amateurish; the 1993 test was inconclusive. Then in 2002 the Giles Laboratory was commissioned by Professor W.J. McCormack to examine the controversial diaries and subsequently declared them authentic. In the years since, work on Casement has progressed, and different questions might now be asked of the McCormack–Giles intervention. </w:t>
      </w:r>
    </w:p>
    <w:p w:rsidR="008B0F95" w:rsidRPr="008B0F95" w:rsidRDefault="008B0F95" w:rsidP="008B0F95">
      <w:pPr>
        <w:spacing w:before="100" w:beforeAutospacing="1" w:after="100" w:afterAutospacing="1" w:line="240" w:lineRule="auto"/>
        <w:jc w:val="both"/>
        <w:rPr>
          <w:szCs w:val="24"/>
          <w:lang w:eastAsia="en-GB"/>
        </w:rPr>
      </w:pPr>
      <w:r w:rsidRPr="008B0F95">
        <w:rPr>
          <w:szCs w:val="24"/>
          <w:lang w:eastAsia="en-GB"/>
        </w:rPr>
        <w:t>The initial proposition given to document examiner Dr Audrey Giles was that she authenticate the questioned documents: ‘The Steering Group have set the initial proposition to be that the documents at Kew known collectively as Roger Casement’s Black Diaries are genuinely written in his hand throughout’. This instruction is fundamentally biased and compromises both examiner and the subsequent examination. For this reason alone the report would not have been accepted by any court of law.</w:t>
      </w:r>
    </w:p>
    <w:p w:rsidR="008B0F95" w:rsidRPr="008B0F95" w:rsidRDefault="008B0F95" w:rsidP="008B0F95">
      <w:pPr>
        <w:spacing w:after="0" w:line="240" w:lineRule="auto"/>
        <w:jc w:val="both"/>
        <w:rPr>
          <w:szCs w:val="24"/>
          <w:lang w:eastAsia="en-GB"/>
        </w:rPr>
      </w:pPr>
      <w:r w:rsidRPr="008B0F95">
        <w:rPr>
          <w:noProof/>
          <w:szCs w:val="24"/>
          <w:lang w:eastAsia="en-GB"/>
        </w:rPr>
        <w:lastRenderedPageBreak/>
        <w:drawing>
          <wp:inline distT="0" distB="0" distL="0" distR="0" wp14:anchorId="4E760476" wp14:editId="2096039A">
            <wp:extent cx="5715000" cy="3535680"/>
            <wp:effectExtent l="0" t="0" r="0" b="7620"/>
            <wp:docPr id="9" name="Picture 9" descr="Above: The five Black Diaries—1 (centre), the Army Book, a small field service notebook [Feb. &amp; July 1902]; 2 (from left to right), Lett’s Pocket Diary &amp; Almanac [Feb. 1903–Jan. 1904]; 3, Dollard’s Office Diary for 1910; 4, Charles Lett’s Popular Desk Diary 1911; 5, Cash Leger [1910 &amp; 1911]. (UK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ove: The five Black Diaries—1 (centre), the Army Book, a small field service notebook [Feb. &amp; July 1902]; 2 (from left to right), Lett’s Pocket Diary &amp; Almanac [Feb. 1903–Jan. 1904]; 3, Dollard’s Office Diary for 1910; 4, Charles Lett’s Popular Desk Diary 1911; 5, Cash Leger [1910 &amp; 1911]. (UK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535680"/>
                    </a:xfrm>
                    <a:prstGeom prst="rect">
                      <a:avLst/>
                    </a:prstGeom>
                    <a:noFill/>
                    <a:ln>
                      <a:noFill/>
                    </a:ln>
                  </pic:spPr>
                </pic:pic>
              </a:graphicData>
            </a:graphic>
          </wp:inline>
        </w:drawing>
      </w:r>
    </w:p>
    <w:p w:rsidR="008B0F95" w:rsidRPr="0036123B" w:rsidRDefault="008B0F95" w:rsidP="008B0F95">
      <w:pPr>
        <w:spacing w:before="100" w:beforeAutospacing="1" w:after="100" w:afterAutospacing="1" w:line="240" w:lineRule="auto"/>
        <w:jc w:val="both"/>
        <w:rPr>
          <w:i/>
          <w:szCs w:val="24"/>
          <w:lang w:eastAsia="en-GB"/>
        </w:rPr>
      </w:pPr>
      <w:r w:rsidRPr="0036123B">
        <w:rPr>
          <w:i/>
          <w:szCs w:val="24"/>
          <w:lang w:eastAsia="en-GB"/>
        </w:rPr>
        <w:t>Above: The five Black Diaries—1 (centre), the Army Book, a small field service notebook [Feb. &amp; July 1902]; 2 (from left to right), Lett’s Pocket Diary &amp; Almanac [Feb. 1903–Jan. 1904]; 3, Dollard’s Office Diary for 1910; 4, Charles Lett’s Popular Desk Diary 1911; 5, Cash Leger [1910 &amp; 1911]. (UKNA)</w:t>
      </w:r>
    </w:p>
    <w:p w:rsidR="0024684B" w:rsidRDefault="008B0F95" w:rsidP="008B0F95">
      <w:pPr>
        <w:spacing w:before="100" w:beforeAutospacing="1" w:after="100" w:afterAutospacing="1" w:line="240" w:lineRule="auto"/>
        <w:jc w:val="both"/>
        <w:rPr>
          <w:b/>
          <w:bCs/>
          <w:szCs w:val="24"/>
          <w:lang w:eastAsia="en-GB"/>
        </w:rPr>
      </w:pPr>
      <w:r w:rsidRPr="008B0F95">
        <w:rPr>
          <w:b/>
          <w:bCs/>
          <w:szCs w:val="24"/>
          <w:lang w:eastAsia="en-GB"/>
        </w:rPr>
        <w:t>Scientific investigation seeks falsification, not verification</w:t>
      </w:r>
    </w:p>
    <w:p w:rsidR="008B0F95" w:rsidRPr="008B0F95" w:rsidRDefault="008B0F95" w:rsidP="008B0F95">
      <w:pPr>
        <w:spacing w:before="100" w:beforeAutospacing="1" w:after="100" w:afterAutospacing="1" w:line="240" w:lineRule="auto"/>
        <w:jc w:val="both"/>
        <w:rPr>
          <w:szCs w:val="24"/>
          <w:lang w:eastAsia="en-GB"/>
        </w:rPr>
      </w:pPr>
      <w:r w:rsidRPr="008B0F95">
        <w:rPr>
          <w:szCs w:val="24"/>
          <w:lang w:eastAsia="en-GB"/>
        </w:rPr>
        <w:t xml:space="preserve">Dr Giles should have pointed out the limitations of handwriting examination and that it might be impossible to reach a definitive conclusion. Having accepted the commission, she proceeded to authenticate the documents. But it is axiomatic that </w:t>
      </w:r>
      <w:r w:rsidRPr="008B0F95">
        <w:rPr>
          <w:i/>
          <w:iCs/>
          <w:szCs w:val="24"/>
          <w:lang w:eastAsia="en-GB"/>
        </w:rPr>
        <w:t>scientific investigation seeks falsification</w:t>
      </w:r>
      <w:r w:rsidRPr="008B0F95">
        <w:rPr>
          <w:szCs w:val="24"/>
          <w:lang w:eastAsia="en-GB"/>
        </w:rPr>
        <w:t>, not verification. The dominant paradigm is tested by looking for weaknesses, contradictions, anomalies. Therefore the Giles investigation cannot claim scientific validity because it started from compromised premises.</w:t>
      </w:r>
      <w:r>
        <w:rPr>
          <w:szCs w:val="24"/>
          <w:lang w:eastAsia="en-GB"/>
        </w:rPr>
        <w:t xml:space="preserve"> </w:t>
      </w:r>
      <w:r w:rsidRPr="008B0F95">
        <w:rPr>
          <w:szCs w:val="24"/>
          <w:lang w:eastAsia="en-GB"/>
        </w:rPr>
        <w:t xml:space="preserve">Further, the report does not fulfil the requirements of a </w:t>
      </w:r>
      <w:r w:rsidRPr="008B0F95">
        <w:rPr>
          <w:i/>
          <w:iCs/>
          <w:szCs w:val="24"/>
          <w:lang w:eastAsia="en-GB"/>
        </w:rPr>
        <w:t>forensic</w:t>
      </w:r>
      <w:r w:rsidRPr="008B0F95">
        <w:rPr>
          <w:szCs w:val="24"/>
          <w:lang w:eastAsia="en-GB"/>
        </w:rPr>
        <w:t xml:space="preserve"> report to be demonstrated in a court of law because it lacks scientific detail, definitions and clear parameters. Quite simply, the conclusion is not demonstrated. Furthermore, there is an astonishing statement by Dr Giles confirming that certain tests were not carried out because she had already foreseen the results of those tests </w:t>
      </w:r>
      <w:r w:rsidRPr="008B0F95">
        <w:rPr>
          <w:i/>
          <w:iCs/>
          <w:szCs w:val="24"/>
          <w:lang w:eastAsia="en-GB"/>
        </w:rPr>
        <w:t>without performing them</w:t>
      </w:r>
      <w:r w:rsidRPr="008B0F95">
        <w:rPr>
          <w:szCs w:val="24"/>
          <w:lang w:eastAsia="en-GB"/>
        </w:rPr>
        <w:t xml:space="preserve">. She stated in RTÉ’s March 2002 Alan </w:t>
      </w:r>
      <w:proofErr w:type="spellStart"/>
      <w:r w:rsidRPr="008B0F95">
        <w:rPr>
          <w:szCs w:val="24"/>
          <w:lang w:eastAsia="en-GB"/>
        </w:rPr>
        <w:t>Gilsenan</w:t>
      </w:r>
      <w:proofErr w:type="spellEnd"/>
      <w:r w:rsidRPr="008B0F95">
        <w:rPr>
          <w:szCs w:val="24"/>
          <w:lang w:eastAsia="en-GB"/>
        </w:rPr>
        <w:t xml:space="preserve"> documentary, </w:t>
      </w:r>
      <w:r w:rsidRPr="008B0F95">
        <w:rPr>
          <w:i/>
          <w:iCs/>
          <w:szCs w:val="24"/>
          <w:lang w:eastAsia="en-GB"/>
        </w:rPr>
        <w:t>The Ghost of Roger Casement</w:t>
      </w:r>
      <w:r w:rsidRPr="008B0F95">
        <w:rPr>
          <w:szCs w:val="24"/>
          <w:lang w:eastAsia="en-GB"/>
        </w:rPr>
        <w:t>:</w:t>
      </w:r>
    </w:p>
    <w:p w:rsidR="008B0F95" w:rsidRPr="008B0F95" w:rsidRDefault="008B0F95" w:rsidP="008B0F95">
      <w:pPr>
        <w:spacing w:before="100" w:beforeAutospacing="1" w:after="100" w:afterAutospacing="1" w:line="240" w:lineRule="auto"/>
        <w:jc w:val="both"/>
        <w:rPr>
          <w:szCs w:val="24"/>
          <w:lang w:eastAsia="en-GB"/>
        </w:rPr>
      </w:pPr>
      <w:r w:rsidRPr="008B0F95">
        <w:rPr>
          <w:szCs w:val="24"/>
          <w:lang w:eastAsia="en-GB"/>
        </w:rPr>
        <w:t xml:space="preserve">‘We could go ahead and carry out analysis of the inks, there are some problems there. There has to be </w:t>
      </w:r>
      <w:proofErr w:type="gramStart"/>
      <w:r w:rsidRPr="008B0F95">
        <w:rPr>
          <w:szCs w:val="24"/>
          <w:lang w:eastAsia="en-GB"/>
        </w:rPr>
        <w:t>a recognition</w:t>
      </w:r>
      <w:proofErr w:type="gramEnd"/>
      <w:r w:rsidRPr="008B0F95">
        <w:rPr>
          <w:szCs w:val="24"/>
          <w:lang w:eastAsia="en-GB"/>
        </w:rPr>
        <w:t xml:space="preserve"> that if indeed the Diaries are substantial forgeries, then they would have been produced at about the same time as the documents are dated or not long afterwards. So they are going to be produced using materials of the age, so I doubt whether in the end any close analysis of the ink is going to tell us a great deal about them.’</w:t>
      </w:r>
    </w:p>
    <w:p w:rsidR="008B0F95" w:rsidRPr="008B0F95" w:rsidRDefault="008B0F95" w:rsidP="008B0F95">
      <w:pPr>
        <w:spacing w:before="100" w:beforeAutospacing="1" w:after="100" w:afterAutospacing="1" w:line="240" w:lineRule="auto"/>
        <w:jc w:val="both"/>
        <w:rPr>
          <w:szCs w:val="24"/>
          <w:lang w:eastAsia="en-GB"/>
        </w:rPr>
      </w:pPr>
      <w:r w:rsidRPr="008B0F95">
        <w:rPr>
          <w:szCs w:val="24"/>
          <w:lang w:eastAsia="en-GB"/>
        </w:rPr>
        <w:t>This statement alone is sufficient to convince the ‘forgery theorists’ that the Giles/McCormack enterprise was planned as a media event rather than an impartial scientific investigation. It perfectly demonstrates the error of seeking verification rather than falsification of a thesis: the examiner uses only those tests and methods that will produce the desired result. In this case the methods used were those of comparative handwriting analysis, which, by Dr Giles’s own admission, are subjective:</w:t>
      </w:r>
      <w:r w:rsidR="00873B40">
        <w:rPr>
          <w:szCs w:val="24"/>
          <w:lang w:eastAsia="en-GB"/>
        </w:rPr>
        <w:t xml:space="preserve"> </w:t>
      </w:r>
      <w:r w:rsidRPr="008B0F95">
        <w:rPr>
          <w:szCs w:val="24"/>
          <w:lang w:eastAsia="en-GB"/>
        </w:rPr>
        <w:lastRenderedPageBreak/>
        <w:t>‘Handwriting examinations are necessarily to some extent subjective. It relies on my judgement to determine whether features are the same or different.’</w:t>
      </w:r>
    </w:p>
    <w:p w:rsidR="00873B40" w:rsidRDefault="008B0F95" w:rsidP="008B0F95">
      <w:pPr>
        <w:spacing w:after="0" w:line="240" w:lineRule="auto"/>
        <w:jc w:val="both"/>
        <w:rPr>
          <w:i/>
          <w:szCs w:val="24"/>
          <w:lang w:eastAsia="en-GB"/>
        </w:rPr>
      </w:pPr>
      <w:r w:rsidRPr="008B0F95">
        <w:rPr>
          <w:noProof/>
          <w:szCs w:val="24"/>
          <w:lang w:eastAsia="en-GB"/>
        </w:rPr>
        <w:drawing>
          <wp:inline distT="0" distB="0" distL="0" distR="0" wp14:anchorId="3614F187" wp14:editId="5C82A5ED">
            <wp:extent cx="1889760" cy="2857500"/>
            <wp:effectExtent l="0" t="0" r="0" b="0"/>
            <wp:docPr id="10" name="Picture 10" descr="Above: Roger Casement leaving court after the appeal against his conviction had been dismissed. (Daily Mirror Pictur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ove: Roger Casement leaving court after the appeal against his conviction had been dismissed. (Daily Mirror Picture Libr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2857500"/>
                    </a:xfrm>
                    <a:prstGeom prst="rect">
                      <a:avLst/>
                    </a:prstGeom>
                    <a:noFill/>
                    <a:ln>
                      <a:noFill/>
                    </a:ln>
                  </pic:spPr>
                </pic:pic>
              </a:graphicData>
            </a:graphic>
          </wp:inline>
        </w:drawing>
      </w:r>
    </w:p>
    <w:p w:rsidR="008B0F95" w:rsidRDefault="008B0F95" w:rsidP="008B0F95">
      <w:pPr>
        <w:spacing w:after="0" w:line="240" w:lineRule="auto"/>
        <w:jc w:val="both"/>
        <w:rPr>
          <w:szCs w:val="24"/>
          <w:lang w:eastAsia="en-GB"/>
        </w:rPr>
      </w:pPr>
      <w:r w:rsidRPr="008B0F95">
        <w:rPr>
          <w:i/>
          <w:szCs w:val="24"/>
          <w:lang w:eastAsia="en-GB"/>
        </w:rPr>
        <w:t>Above: Roger Casement leaving court after the appeal against his conviction had been dismissed. (Daily Mirror Picture Library)</w:t>
      </w:r>
    </w:p>
    <w:p w:rsidR="008B0F95" w:rsidRPr="008B0F95" w:rsidRDefault="008B0F95" w:rsidP="008B0F95">
      <w:pPr>
        <w:spacing w:after="0" w:line="240" w:lineRule="auto"/>
        <w:jc w:val="both"/>
        <w:rPr>
          <w:szCs w:val="24"/>
          <w:lang w:eastAsia="en-GB"/>
        </w:rPr>
      </w:pPr>
    </w:p>
    <w:p w:rsidR="008B0F95" w:rsidRPr="008B0F95" w:rsidRDefault="008B0F95" w:rsidP="008B0F95">
      <w:pPr>
        <w:spacing w:after="0" w:line="240" w:lineRule="auto"/>
        <w:jc w:val="both"/>
        <w:rPr>
          <w:szCs w:val="24"/>
          <w:lang w:eastAsia="en-GB"/>
        </w:rPr>
      </w:pPr>
      <w:r w:rsidRPr="008B0F95">
        <w:rPr>
          <w:szCs w:val="24"/>
          <w:lang w:eastAsia="en-GB"/>
        </w:rPr>
        <w:t xml:space="preserve">If anything, the Giles Report raised more doubts than existed before. According to Marcel </w:t>
      </w:r>
      <w:proofErr w:type="spellStart"/>
      <w:r w:rsidRPr="008B0F95">
        <w:rPr>
          <w:szCs w:val="24"/>
          <w:lang w:eastAsia="en-GB"/>
        </w:rPr>
        <w:t>Matley</w:t>
      </w:r>
      <w:proofErr w:type="spellEnd"/>
      <w:r w:rsidRPr="008B0F95">
        <w:rPr>
          <w:szCs w:val="24"/>
          <w:lang w:eastAsia="en-GB"/>
        </w:rPr>
        <w:t xml:space="preserve">, a US document examiner, in his sixteen-page devastating critique: ‘Even if every document examined were the authentic writing of Casement, this report does nothing to establish the fact’. Apart from scientific inadequacy, media publicity (including two TV documentaries) caused doubts that the entire enterprise was a political/publicity stunt masquerading as scientific investigation, an impression compounded by press misreporting that ink, pollen and DNA tests had given definitive conclusions when no such tests had been carried out. </w:t>
      </w:r>
    </w:p>
    <w:p w:rsidR="008B0F95" w:rsidRPr="008B0F95" w:rsidRDefault="008B0F95" w:rsidP="008B0F95">
      <w:pPr>
        <w:spacing w:before="100" w:beforeAutospacing="1" w:after="100" w:afterAutospacing="1" w:line="240" w:lineRule="auto"/>
        <w:jc w:val="both"/>
        <w:rPr>
          <w:szCs w:val="24"/>
          <w:lang w:eastAsia="en-GB"/>
        </w:rPr>
      </w:pPr>
      <w:r w:rsidRPr="008B0F95">
        <w:rPr>
          <w:szCs w:val="24"/>
          <w:lang w:eastAsia="en-GB"/>
        </w:rPr>
        <w:t>The report was peer-reviewed by US document examiner James Horan:</w:t>
      </w:r>
    </w:p>
    <w:p w:rsidR="008B0F95" w:rsidRPr="008B0F95" w:rsidRDefault="008B0F95" w:rsidP="008B0F95">
      <w:pPr>
        <w:spacing w:before="100" w:beforeAutospacing="1" w:after="100" w:afterAutospacing="1" w:line="240" w:lineRule="auto"/>
        <w:jc w:val="both"/>
        <w:rPr>
          <w:szCs w:val="24"/>
          <w:lang w:eastAsia="en-GB"/>
        </w:rPr>
      </w:pPr>
      <w:r w:rsidRPr="008B0F95">
        <w:rPr>
          <w:szCs w:val="24"/>
          <w:lang w:eastAsia="en-GB"/>
        </w:rPr>
        <w:t>‘As editor of the Journal of Forensic Sciences and the Journal of the American Society of Questioned Document Examiners, I would NOT recommend publication of the Giles Report because the report does not show HOW its conclusion was reached.</w:t>
      </w:r>
      <w:r>
        <w:rPr>
          <w:szCs w:val="24"/>
          <w:lang w:eastAsia="en-GB"/>
        </w:rPr>
        <w:t xml:space="preserve"> </w:t>
      </w:r>
      <w:r w:rsidRPr="008B0F95">
        <w:rPr>
          <w:szCs w:val="24"/>
          <w:lang w:eastAsia="en-GB"/>
        </w:rPr>
        <w:t>To the question, “Is the writing Roger Casement’s?</w:t>
      </w:r>
      <w:proofErr w:type="gramStart"/>
      <w:r w:rsidRPr="008B0F95">
        <w:rPr>
          <w:szCs w:val="24"/>
          <w:lang w:eastAsia="en-GB"/>
        </w:rPr>
        <w:t>”,</w:t>
      </w:r>
      <w:proofErr w:type="gramEnd"/>
      <w:r w:rsidRPr="008B0F95">
        <w:rPr>
          <w:szCs w:val="24"/>
          <w:lang w:eastAsia="en-GB"/>
        </w:rPr>
        <w:t xml:space="preserve"> on the basis of the Giles Report as it stands, my answer would have to be I cannot tell.’</w:t>
      </w:r>
    </w:p>
    <w:p w:rsidR="008B0F95" w:rsidRPr="008B0F95" w:rsidRDefault="008B0F95" w:rsidP="008B0F95">
      <w:pPr>
        <w:spacing w:before="100" w:beforeAutospacing="1" w:after="100" w:afterAutospacing="1" w:line="240" w:lineRule="auto"/>
        <w:jc w:val="both"/>
        <w:rPr>
          <w:szCs w:val="24"/>
          <w:lang w:eastAsia="en-GB"/>
        </w:rPr>
      </w:pPr>
      <w:r w:rsidRPr="008B0F95">
        <w:rPr>
          <w:szCs w:val="24"/>
          <w:lang w:eastAsia="en-GB"/>
        </w:rPr>
        <w:t>Nevertheless, the media campaign proved successful not only in perpetuating the official thesis of authenticity but also in regenerating that untested thesis as definitively proven. Doubters became heretics as scientific investigation became propaganda.</w:t>
      </w:r>
    </w:p>
    <w:p w:rsidR="008B0F95" w:rsidRDefault="008B0F95" w:rsidP="0024684B">
      <w:pPr>
        <w:spacing w:before="100" w:beforeAutospacing="1" w:after="100" w:afterAutospacing="1" w:line="240" w:lineRule="auto"/>
        <w:rPr>
          <w:szCs w:val="24"/>
          <w:lang w:eastAsia="en-GB"/>
        </w:rPr>
      </w:pPr>
      <w:r w:rsidRPr="008B0F95">
        <w:rPr>
          <w:b/>
          <w:bCs/>
          <w:szCs w:val="24"/>
          <w:lang w:eastAsia="en-GB"/>
        </w:rPr>
        <w:t>Cognitive</w:t>
      </w:r>
      <w:r w:rsidR="0024684B">
        <w:rPr>
          <w:b/>
          <w:bCs/>
          <w:szCs w:val="24"/>
          <w:lang w:eastAsia="en-GB"/>
        </w:rPr>
        <w:t xml:space="preserve"> </w:t>
      </w:r>
      <w:r w:rsidRPr="008B0F95">
        <w:rPr>
          <w:b/>
          <w:bCs/>
          <w:szCs w:val="24"/>
          <w:lang w:eastAsia="en-GB"/>
        </w:rPr>
        <w:t>bias</w:t>
      </w:r>
      <w:r w:rsidRPr="008B0F95">
        <w:rPr>
          <w:szCs w:val="24"/>
          <w:lang w:eastAsia="en-GB"/>
        </w:rPr>
        <w:br/>
        <w:t xml:space="preserve">Leading US experts, including Andrew </w:t>
      </w:r>
      <w:proofErr w:type="spellStart"/>
      <w:r w:rsidRPr="008B0F95">
        <w:rPr>
          <w:szCs w:val="24"/>
          <w:lang w:eastAsia="en-GB"/>
        </w:rPr>
        <w:t>Sulner</w:t>
      </w:r>
      <w:proofErr w:type="spellEnd"/>
      <w:r w:rsidRPr="008B0F95">
        <w:rPr>
          <w:szCs w:val="24"/>
          <w:lang w:eastAsia="en-GB"/>
        </w:rPr>
        <w:t xml:space="preserve"> (Fellow of the American Academy of Forensic Sciences, lawyer and former state prosecutor) and Professor Dan </w:t>
      </w:r>
      <w:proofErr w:type="gramStart"/>
      <w:r w:rsidRPr="008B0F95">
        <w:rPr>
          <w:szCs w:val="24"/>
          <w:lang w:eastAsia="en-GB"/>
        </w:rPr>
        <w:t>Simon,</w:t>
      </w:r>
      <w:proofErr w:type="gramEnd"/>
      <w:r w:rsidRPr="008B0F95">
        <w:rPr>
          <w:szCs w:val="24"/>
          <w:lang w:eastAsia="en-GB"/>
        </w:rPr>
        <w:t xml:space="preserve"> have explored cognitive bias and flawed forensics. </w:t>
      </w:r>
      <w:proofErr w:type="spellStart"/>
      <w:r w:rsidRPr="008B0F95">
        <w:rPr>
          <w:szCs w:val="24"/>
          <w:lang w:eastAsia="en-GB"/>
        </w:rPr>
        <w:t>Sulner</w:t>
      </w:r>
      <w:proofErr w:type="spellEnd"/>
      <w:r w:rsidRPr="008B0F95">
        <w:rPr>
          <w:szCs w:val="24"/>
          <w:lang w:eastAsia="en-GB"/>
        </w:rPr>
        <w:t xml:space="preserve"> has pointed out that too many handwriting experts still believe that training and experience shield them from the biasing influences proven to impact the accuracy of visual observations and decision-making by ordinary mortals. In his paper ‘Cognitive and motivational causes of investigative error’, presented to the American Academy, Professor Simon explained how errors can compound with each other and demonstrated various dangers in forensic investigations, such as </w:t>
      </w:r>
      <w:r w:rsidRPr="008B0F95">
        <w:rPr>
          <w:i/>
          <w:iCs/>
          <w:szCs w:val="24"/>
          <w:lang w:eastAsia="en-GB"/>
        </w:rPr>
        <w:t>selective framing</w:t>
      </w:r>
      <w:r w:rsidR="009805D0">
        <w:rPr>
          <w:i/>
          <w:iCs/>
          <w:szCs w:val="24"/>
          <w:lang w:eastAsia="en-GB"/>
        </w:rPr>
        <w:t xml:space="preserve"> </w:t>
      </w:r>
      <w:r w:rsidRPr="008B0F95">
        <w:rPr>
          <w:szCs w:val="24"/>
          <w:lang w:eastAsia="en-GB"/>
        </w:rPr>
        <w:t xml:space="preserve">(the inquiry is framed in terms designed to influence the outcome), </w:t>
      </w:r>
      <w:r w:rsidRPr="008B0F95">
        <w:rPr>
          <w:i/>
          <w:iCs/>
          <w:szCs w:val="24"/>
          <w:lang w:eastAsia="en-GB"/>
        </w:rPr>
        <w:t>selective exposure</w:t>
      </w:r>
      <w:r w:rsidRPr="008B0F95">
        <w:rPr>
          <w:szCs w:val="24"/>
          <w:lang w:eastAsia="en-GB"/>
        </w:rPr>
        <w:t xml:space="preserve"> (the information provided is chosen to influence the outcome) and </w:t>
      </w:r>
      <w:r w:rsidRPr="008B0F95">
        <w:rPr>
          <w:i/>
          <w:iCs/>
          <w:szCs w:val="24"/>
          <w:lang w:eastAsia="en-GB"/>
        </w:rPr>
        <w:lastRenderedPageBreak/>
        <w:t>selective stopping</w:t>
      </w:r>
      <w:r w:rsidRPr="008B0F95">
        <w:rPr>
          <w:szCs w:val="24"/>
          <w:lang w:eastAsia="en-GB"/>
        </w:rPr>
        <w:t xml:space="preserve"> (the inquiry ends when the hypothesis appears to be confirmed). The Giles Report is afflicted by all three defects.</w:t>
      </w:r>
    </w:p>
    <w:p w:rsidR="008B0F95" w:rsidRPr="008B0F95" w:rsidRDefault="008B0F95" w:rsidP="008B0F95">
      <w:pPr>
        <w:spacing w:before="100" w:beforeAutospacing="1" w:after="100" w:afterAutospacing="1" w:line="240" w:lineRule="auto"/>
        <w:jc w:val="both"/>
        <w:rPr>
          <w:szCs w:val="24"/>
          <w:lang w:eastAsia="en-GB"/>
        </w:rPr>
      </w:pPr>
      <w:r w:rsidRPr="008B0F95">
        <w:rPr>
          <w:szCs w:val="24"/>
          <w:lang w:eastAsia="en-GB"/>
        </w:rPr>
        <w:t xml:space="preserve">It is now increasingly recognised in the US forensic science community that experts are reluctant to acknowledge the possibility of mental contamination of evidence in the form of cognitively biased evaluations. As highlighted in the 2009 National Academies of Science report </w:t>
      </w:r>
      <w:r w:rsidRPr="008B0F95">
        <w:rPr>
          <w:i/>
          <w:iCs/>
          <w:szCs w:val="24"/>
          <w:lang w:eastAsia="en-GB"/>
        </w:rPr>
        <w:t>Strengthening forensic science in the US</w:t>
      </w:r>
      <w:r w:rsidRPr="008B0F95">
        <w:rPr>
          <w:szCs w:val="24"/>
          <w:lang w:eastAsia="en-GB"/>
        </w:rPr>
        <w:t xml:space="preserve">, research in behavioural science and information obtained from reviews of errors in high-profile cases have clearly established the adverse impact that contextual and motivational biases have on human judgement and on the accuracy of forensic evaluations of evidence. </w:t>
      </w:r>
    </w:p>
    <w:p w:rsidR="008B0F95" w:rsidRPr="008B0F95" w:rsidRDefault="008B0F95" w:rsidP="008B0F95">
      <w:pPr>
        <w:spacing w:before="100" w:beforeAutospacing="1" w:after="100" w:afterAutospacing="1" w:line="240" w:lineRule="auto"/>
        <w:jc w:val="both"/>
        <w:rPr>
          <w:szCs w:val="24"/>
          <w:lang w:eastAsia="en-GB"/>
        </w:rPr>
      </w:pPr>
      <w:r w:rsidRPr="008B0F95">
        <w:rPr>
          <w:b/>
          <w:bCs/>
          <w:szCs w:val="24"/>
          <w:lang w:eastAsia="en-GB"/>
        </w:rPr>
        <w:t>Scrutiny</w:t>
      </w:r>
      <w:r w:rsidRPr="008B0F95">
        <w:rPr>
          <w:szCs w:val="24"/>
          <w:lang w:eastAsia="en-GB"/>
        </w:rPr>
        <w:br/>
        <w:t>Deep scrutiny exposes the following lethal defects in the Giles Report.</w:t>
      </w:r>
      <w:r>
        <w:rPr>
          <w:szCs w:val="24"/>
          <w:lang w:eastAsia="en-GB"/>
        </w:rPr>
        <w:t xml:space="preserve"> </w:t>
      </w:r>
      <w:r w:rsidRPr="008B0F95">
        <w:rPr>
          <w:szCs w:val="24"/>
          <w:lang w:eastAsia="en-GB"/>
        </w:rPr>
        <w:t xml:space="preserve">Firstly, whereas document examiners do use the term ‘consistent with’ despite its lack of precision, ‘consistent with’ says no more than ‘might be’ owing to a degree of observed similarity. But an imprecise degree of similarity is </w:t>
      </w:r>
      <w:r w:rsidRPr="008B0F95">
        <w:rPr>
          <w:i/>
          <w:iCs/>
          <w:szCs w:val="24"/>
          <w:lang w:eastAsia="en-GB"/>
        </w:rPr>
        <w:t>insufficient for</w:t>
      </w:r>
      <w:r>
        <w:rPr>
          <w:i/>
          <w:iCs/>
          <w:szCs w:val="24"/>
          <w:lang w:eastAsia="en-GB"/>
        </w:rPr>
        <w:t xml:space="preserve"> </w:t>
      </w:r>
      <w:r w:rsidRPr="008B0F95">
        <w:rPr>
          <w:i/>
          <w:iCs/>
          <w:szCs w:val="24"/>
          <w:lang w:eastAsia="en-GB"/>
        </w:rPr>
        <w:t>positive identification</w:t>
      </w:r>
      <w:r w:rsidRPr="008B0F95">
        <w:rPr>
          <w:szCs w:val="24"/>
          <w:lang w:eastAsia="en-GB"/>
        </w:rPr>
        <w:t xml:space="preserve"> and therefore is inconclusive. </w:t>
      </w:r>
    </w:p>
    <w:p w:rsidR="008B0F95" w:rsidRPr="008B0F95" w:rsidRDefault="008B0F95" w:rsidP="008B0F95">
      <w:pPr>
        <w:spacing w:before="100" w:beforeAutospacing="1" w:after="100" w:afterAutospacing="1" w:line="240" w:lineRule="auto"/>
        <w:jc w:val="both"/>
        <w:rPr>
          <w:szCs w:val="24"/>
          <w:lang w:eastAsia="en-GB"/>
        </w:rPr>
      </w:pPr>
      <w:r w:rsidRPr="008B0F95">
        <w:rPr>
          <w:szCs w:val="24"/>
          <w:lang w:eastAsia="en-GB"/>
        </w:rPr>
        <w:t xml:space="preserve">A series of ‘consistent with’ results is more </w:t>
      </w:r>
      <w:r w:rsidRPr="008B0F95">
        <w:rPr>
          <w:i/>
          <w:iCs/>
          <w:szCs w:val="24"/>
          <w:lang w:eastAsia="en-GB"/>
        </w:rPr>
        <w:t>persuasive</w:t>
      </w:r>
      <w:r w:rsidRPr="008B0F95">
        <w:rPr>
          <w:szCs w:val="24"/>
          <w:lang w:eastAsia="en-GB"/>
        </w:rPr>
        <w:t xml:space="preserve"> than one or two such results because the apparently repeated similarity </w:t>
      </w:r>
      <w:r w:rsidRPr="008B0F95">
        <w:rPr>
          <w:i/>
          <w:iCs/>
          <w:szCs w:val="24"/>
          <w:lang w:eastAsia="en-GB"/>
        </w:rPr>
        <w:t>suggests</w:t>
      </w:r>
      <w:r w:rsidRPr="008B0F95">
        <w:rPr>
          <w:szCs w:val="24"/>
          <w:lang w:eastAsia="en-GB"/>
        </w:rPr>
        <w:t xml:space="preserve"> lower probability of error in each observation. It does not, however, guarantee error elimination—the key word is ‘suggests’. It is here that cognitive bias plays a determining role by unconsciously programming the search for repeated similarity. The subjective perceptive mechanism becomes less impartial as it is progressively conditioned by a cognitive bias </w:t>
      </w:r>
      <w:r w:rsidRPr="008B0F95">
        <w:rPr>
          <w:i/>
          <w:iCs/>
          <w:szCs w:val="24"/>
          <w:lang w:eastAsia="en-GB"/>
        </w:rPr>
        <w:t>created by previous observations</w:t>
      </w:r>
      <w:r w:rsidRPr="008B0F95">
        <w:rPr>
          <w:szCs w:val="24"/>
          <w:lang w:eastAsia="en-GB"/>
        </w:rPr>
        <w:t xml:space="preserve">; we see what we have been previously conditioned to see. The process is called </w:t>
      </w:r>
      <w:r w:rsidRPr="008B0F95">
        <w:rPr>
          <w:i/>
          <w:iCs/>
          <w:szCs w:val="24"/>
          <w:lang w:eastAsia="en-GB"/>
        </w:rPr>
        <w:t>recognition</w:t>
      </w:r>
      <w:r w:rsidRPr="008B0F95">
        <w:rPr>
          <w:szCs w:val="24"/>
          <w:lang w:eastAsia="en-GB"/>
        </w:rPr>
        <w:t xml:space="preserve">. </w:t>
      </w:r>
    </w:p>
    <w:p w:rsidR="008B0F95" w:rsidRPr="008B0F95" w:rsidRDefault="008B0F95" w:rsidP="008B0F95">
      <w:pPr>
        <w:spacing w:before="100" w:beforeAutospacing="1" w:after="100" w:afterAutospacing="1" w:line="240" w:lineRule="auto"/>
        <w:jc w:val="both"/>
        <w:rPr>
          <w:szCs w:val="24"/>
          <w:lang w:eastAsia="en-GB"/>
        </w:rPr>
      </w:pPr>
      <w:r w:rsidRPr="008B0F95">
        <w:rPr>
          <w:szCs w:val="24"/>
          <w:lang w:eastAsia="en-GB"/>
        </w:rPr>
        <w:t xml:space="preserve">Dr Giles reaches ‘conclusive’ evidence by repeating the expression ‘if taken together’ in the preambles to her conclusions; this expression, following the imprecise ‘consistent with’, overlooks the distinct features of single contentious entries. A number of ‘consistent with’ assertions grouped under ‘if taken together’ produce what she calls ‘conclusive evidence’. But ‘consistent with’ is not a constituent of conclusive evidence because it is an intermediate term on the scale of value determination; any number of </w:t>
      </w:r>
      <w:r w:rsidRPr="008B0F95">
        <w:rPr>
          <w:i/>
          <w:iCs/>
          <w:szCs w:val="24"/>
          <w:lang w:eastAsia="en-GB"/>
        </w:rPr>
        <w:t>identical</w:t>
      </w:r>
      <w:r w:rsidRPr="008B0F95">
        <w:rPr>
          <w:szCs w:val="24"/>
          <w:lang w:eastAsia="en-GB"/>
        </w:rPr>
        <w:t xml:space="preserve"> inconclusive terms cannot produce a conclusive result. </w:t>
      </w:r>
    </w:p>
    <w:p w:rsidR="008B0F95" w:rsidRPr="008B0F95" w:rsidRDefault="008B0F95" w:rsidP="008B0F95">
      <w:pPr>
        <w:spacing w:before="100" w:beforeAutospacing="1" w:after="100" w:afterAutospacing="1" w:line="240" w:lineRule="auto"/>
        <w:jc w:val="both"/>
        <w:rPr>
          <w:szCs w:val="24"/>
          <w:lang w:eastAsia="en-GB"/>
        </w:rPr>
      </w:pPr>
      <w:r w:rsidRPr="008B0F95">
        <w:rPr>
          <w:szCs w:val="24"/>
          <w:lang w:eastAsia="en-GB"/>
        </w:rPr>
        <w:t xml:space="preserve">This is a misapplication of the Law of Large Numbers, which requires </w:t>
      </w:r>
      <w:r w:rsidRPr="008B0F95">
        <w:rPr>
          <w:i/>
          <w:iCs/>
          <w:szCs w:val="24"/>
          <w:lang w:eastAsia="en-GB"/>
        </w:rPr>
        <w:t>variant input values</w:t>
      </w:r>
      <w:r w:rsidRPr="008B0F95">
        <w:rPr>
          <w:szCs w:val="24"/>
          <w:lang w:eastAsia="en-GB"/>
        </w:rPr>
        <w:t xml:space="preserve"> in order to produce a result higher than </w:t>
      </w:r>
      <w:r w:rsidRPr="008B0F95">
        <w:rPr>
          <w:i/>
          <w:iCs/>
          <w:szCs w:val="24"/>
          <w:lang w:eastAsia="en-GB"/>
        </w:rPr>
        <w:t>some</w:t>
      </w:r>
      <w:r w:rsidRPr="008B0F95">
        <w:rPr>
          <w:szCs w:val="24"/>
          <w:lang w:eastAsia="en-GB"/>
        </w:rPr>
        <w:t xml:space="preserve"> of the input values: 2+3+4+5 divided by 4 = 3.5, which is higher than two of the input values,</w:t>
      </w:r>
      <w:r>
        <w:rPr>
          <w:szCs w:val="24"/>
          <w:lang w:eastAsia="en-GB"/>
        </w:rPr>
        <w:t xml:space="preserve"> </w:t>
      </w:r>
      <w:r w:rsidRPr="008B0F95">
        <w:rPr>
          <w:szCs w:val="24"/>
          <w:lang w:eastAsia="en-GB"/>
        </w:rPr>
        <w:t xml:space="preserve">but 3+3+3+3 divided by 4 = 3, which is identical to all input values. Therefore a series of ‘consistent with’ input values </w:t>
      </w:r>
      <w:r w:rsidRPr="008B0F95">
        <w:rPr>
          <w:i/>
          <w:iCs/>
          <w:szCs w:val="24"/>
          <w:lang w:eastAsia="en-GB"/>
        </w:rPr>
        <w:t>cannot produce a result higher than any single input value</w:t>
      </w:r>
      <w:r w:rsidRPr="008B0F95">
        <w:rPr>
          <w:szCs w:val="24"/>
          <w:lang w:eastAsia="en-GB"/>
        </w:rPr>
        <w:t>. Identical inconclusive values cannot produce conclusive results. The final Giles conclusion ought to be ‘consistent with’, which is inconclusive. This outcome would be ‘consistent with’ the 1993 result of ‘correspond closely’.</w:t>
      </w:r>
    </w:p>
    <w:p w:rsidR="008B0F95" w:rsidRPr="008B0F95" w:rsidRDefault="008B0F95" w:rsidP="008B0F95">
      <w:pPr>
        <w:spacing w:before="100" w:beforeAutospacing="1" w:after="100" w:afterAutospacing="1" w:line="240" w:lineRule="auto"/>
        <w:jc w:val="both"/>
        <w:rPr>
          <w:szCs w:val="24"/>
          <w:lang w:eastAsia="en-GB"/>
        </w:rPr>
      </w:pPr>
      <w:r w:rsidRPr="008B0F95">
        <w:rPr>
          <w:szCs w:val="24"/>
          <w:lang w:eastAsia="en-GB"/>
        </w:rPr>
        <w:t xml:space="preserve">Secondly, the term ‘consistent pattern’ appears on six different occasions in the report. What is meant by ‘consistent pattern’ goes unexplained, however, but it clearly refers to the ‘contentious entries’. Regarding the possibility of forged entries, Dr Giles states: ‘… I would expect to find evidence of this in the form of a consistent pattern of contentious entries’. Without an explanation, one must guess at possible meanings. Does she mean that the contentious entries should show features that distinguish them as a group from innocuous writings? Does she expect the questioned writings to be labelled for easy identification? If they were easy to identify by virtue of shared distinctive features, then the hypothetical forger would have utterly failed. Dr Giles does not even explain </w:t>
      </w:r>
      <w:r w:rsidRPr="008B0F95">
        <w:rPr>
          <w:i/>
          <w:iCs/>
          <w:szCs w:val="24"/>
          <w:lang w:eastAsia="en-GB"/>
        </w:rPr>
        <w:t>why</w:t>
      </w:r>
      <w:r w:rsidRPr="008B0F95">
        <w:rPr>
          <w:szCs w:val="24"/>
          <w:lang w:eastAsia="en-GB"/>
        </w:rPr>
        <w:t xml:space="preserve"> she would expect to find any pattern. Surely a repeated detectable pattern acts like a label and is exactly what the forger would avoid?</w:t>
      </w:r>
    </w:p>
    <w:p w:rsidR="00873B40" w:rsidRDefault="008B0F95" w:rsidP="00873B40">
      <w:pPr>
        <w:spacing w:before="100" w:beforeAutospacing="1" w:after="100" w:afterAutospacing="1" w:line="240" w:lineRule="auto"/>
        <w:jc w:val="both"/>
        <w:rPr>
          <w:szCs w:val="24"/>
          <w:lang w:eastAsia="en-GB"/>
        </w:rPr>
      </w:pPr>
      <w:r w:rsidRPr="008B0F95">
        <w:rPr>
          <w:szCs w:val="24"/>
          <w:lang w:eastAsia="en-GB"/>
        </w:rPr>
        <w:lastRenderedPageBreak/>
        <w:t>At another point, she discusses the difficulty of simulating another person’s handwriting owing to the need to suppress the writer’s own handwriting during simulation. ‘Whereas this may be done over a small portion of handwriting, this becomes extremely difficult over more than a few lines of handwriting.’ But is she referring to a beginner or to an experienced forger? No</w:t>
      </w:r>
      <w:r>
        <w:rPr>
          <w:szCs w:val="24"/>
          <w:lang w:eastAsia="en-GB"/>
        </w:rPr>
        <w:t xml:space="preserve"> </w:t>
      </w:r>
      <w:r w:rsidRPr="008B0F95">
        <w:rPr>
          <w:szCs w:val="24"/>
          <w:lang w:eastAsia="en-GB"/>
        </w:rPr>
        <w:t xml:space="preserve">one disputes that the writings, if forged, were done by an expert. But even this misses the point. The fact is that the contentious entries are all relatively brief. Dr Giles states many times that the entries are ‘restricted in quantity’, ‘limited quantities of comparable material’, ‘the contentious entries represent a small amount of comparable material’. The contentious entries never amount to ‘more than a few lines of handwriting’—frequently much less. Thus this brevity facilitates the experienced forger, who never needs to simulate extended handwriting such as a letter might contain. </w:t>
      </w:r>
    </w:p>
    <w:p w:rsidR="0036123B" w:rsidRDefault="008B0F95" w:rsidP="008B0F95">
      <w:pPr>
        <w:spacing w:before="100" w:beforeAutospacing="1" w:after="100" w:afterAutospacing="1" w:line="240" w:lineRule="auto"/>
        <w:jc w:val="both"/>
        <w:rPr>
          <w:szCs w:val="24"/>
          <w:lang w:eastAsia="en-GB"/>
        </w:rPr>
      </w:pPr>
      <w:r w:rsidRPr="008B0F95">
        <w:rPr>
          <w:noProof/>
          <w:szCs w:val="24"/>
          <w:lang w:eastAsia="en-GB"/>
        </w:rPr>
        <w:drawing>
          <wp:inline distT="0" distB="0" distL="0" distR="0" wp14:anchorId="2A340066" wp14:editId="2800078C">
            <wp:extent cx="2049780" cy="2857500"/>
            <wp:effectExtent l="0" t="0" r="7620" b="0"/>
            <wp:docPr id="11" name="Picture 11" descr="Above: The 1911 Lett’s Diary, 5–8 January, which, according toDr Giles, contains contentious writings ‘on virtually every page … It is easier to identifyareas where the entries are non-contentious rather than where they are contentious’. No explanation is given for this easier distinction. (UK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ove: The 1911 Lett’s Diary, 5–8 January, which, according toDr Giles, contains contentious writings ‘on virtually every page … It is easier to identifyareas where the entries are non-contentious rather than where they are contentious’. No explanation is given for this easier distinction. (UK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9780" cy="2857500"/>
                    </a:xfrm>
                    <a:prstGeom prst="rect">
                      <a:avLst/>
                    </a:prstGeom>
                    <a:noFill/>
                    <a:ln>
                      <a:noFill/>
                    </a:ln>
                  </pic:spPr>
                </pic:pic>
              </a:graphicData>
            </a:graphic>
          </wp:inline>
        </w:drawing>
      </w:r>
    </w:p>
    <w:p w:rsidR="008B0F95" w:rsidRPr="0036123B" w:rsidRDefault="008B0F95" w:rsidP="008B0F95">
      <w:pPr>
        <w:spacing w:before="100" w:beforeAutospacing="1" w:after="100" w:afterAutospacing="1" w:line="240" w:lineRule="auto"/>
        <w:jc w:val="both"/>
        <w:rPr>
          <w:szCs w:val="24"/>
          <w:lang w:eastAsia="en-GB"/>
        </w:rPr>
      </w:pPr>
      <w:r w:rsidRPr="008B0F95">
        <w:rPr>
          <w:i/>
          <w:szCs w:val="24"/>
          <w:lang w:eastAsia="en-GB"/>
        </w:rPr>
        <w:t>Above: The 1911 Lett’s Diary, 5–8 January, which, according to</w:t>
      </w:r>
      <w:r w:rsidRPr="009805D0">
        <w:rPr>
          <w:i/>
          <w:szCs w:val="24"/>
          <w:lang w:eastAsia="en-GB"/>
        </w:rPr>
        <w:t xml:space="preserve"> </w:t>
      </w:r>
      <w:r w:rsidRPr="008B0F95">
        <w:rPr>
          <w:i/>
          <w:szCs w:val="24"/>
          <w:lang w:eastAsia="en-GB"/>
        </w:rPr>
        <w:t>Dr Giles, contains contentious writings ‘on virtually every page … It is easier to identify</w:t>
      </w:r>
      <w:r w:rsidRPr="009805D0">
        <w:rPr>
          <w:i/>
          <w:szCs w:val="24"/>
          <w:lang w:eastAsia="en-GB"/>
        </w:rPr>
        <w:t xml:space="preserve"> </w:t>
      </w:r>
      <w:r w:rsidRPr="008B0F95">
        <w:rPr>
          <w:i/>
          <w:szCs w:val="24"/>
          <w:lang w:eastAsia="en-GB"/>
        </w:rPr>
        <w:t>areas where the entries are non-contentious rather than where they are contentious’. No explanation is given for this easier distinction. (UKNA)</w:t>
      </w:r>
    </w:p>
    <w:p w:rsidR="008B0F95" w:rsidRPr="008B0F95" w:rsidRDefault="008B0F95" w:rsidP="008B0F95">
      <w:pPr>
        <w:spacing w:after="0" w:line="240" w:lineRule="auto"/>
        <w:jc w:val="both"/>
        <w:rPr>
          <w:szCs w:val="24"/>
          <w:lang w:eastAsia="en-GB"/>
        </w:rPr>
      </w:pPr>
      <w:r w:rsidRPr="008B0F95">
        <w:rPr>
          <w:szCs w:val="24"/>
          <w:lang w:eastAsia="en-GB"/>
        </w:rPr>
        <w:t xml:space="preserve">When Dr Giles discusses the 1911 Lett’s Diary, which contains contentious writings ‘on virtually every page’, her argument does not improve. A curious comment follows: ‘It is easier to </w:t>
      </w:r>
      <w:r w:rsidRPr="008B0F95">
        <w:rPr>
          <w:i/>
          <w:iCs/>
          <w:szCs w:val="24"/>
          <w:lang w:eastAsia="en-GB"/>
        </w:rPr>
        <w:t>identify areas</w:t>
      </w:r>
      <w:r w:rsidRPr="008B0F95">
        <w:rPr>
          <w:szCs w:val="24"/>
          <w:lang w:eastAsia="en-GB"/>
        </w:rPr>
        <w:t xml:space="preserve"> where the entries are non-contentious rather than where they are contentious’. No explanation is given for this easier distinction. This is strange, because the two types of entries are, by her own account, free of any ‘significant differences’ and therefore should be indistinguishable. The only difference would then be semantic: one with sexual references, the other without. To someone without English, these writings would be identical if there are </w:t>
      </w:r>
      <w:r w:rsidRPr="008B0F95">
        <w:rPr>
          <w:i/>
          <w:iCs/>
          <w:szCs w:val="24"/>
          <w:lang w:eastAsia="en-GB"/>
        </w:rPr>
        <w:t>no significant differences</w:t>
      </w:r>
      <w:r w:rsidRPr="008B0F95">
        <w:rPr>
          <w:szCs w:val="24"/>
          <w:lang w:eastAsia="en-GB"/>
        </w:rPr>
        <w:t xml:space="preserve">. Dr Giles is English, so we must assume that she detects the difference without noting semantic content, but on what basis she does not explain. This distinction, however, would constitute a significant difference requiring reasoned explanation. Even stranger is her later comment: ‘The contentious entries are a large and integral part of the entries of this Diary and </w:t>
      </w:r>
      <w:r w:rsidRPr="008B0F95">
        <w:rPr>
          <w:i/>
          <w:iCs/>
          <w:szCs w:val="24"/>
          <w:lang w:eastAsia="en-GB"/>
        </w:rPr>
        <w:t>cannot be separated in any way</w:t>
      </w:r>
      <w:r w:rsidRPr="008B0F95">
        <w:rPr>
          <w:szCs w:val="24"/>
          <w:lang w:eastAsia="en-GB"/>
        </w:rPr>
        <w:t xml:space="preserve"> from the innocuous entries’. This contradicts her earlier separation of contentious and non-contentious entries. </w:t>
      </w:r>
    </w:p>
    <w:p w:rsidR="008B0F95" w:rsidRPr="008B0F95" w:rsidRDefault="008B0F95" w:rsidP="008B0F95">
      <w:pPr>
        <w:spacing w:before="100" w:beforeAutospacing="1" w:after="100" w:afterAutospacing="1" w:line="240" w:lineRule="auto"/>
        <w:jc w:val="both"/>
        <w:rPr>
          <w:szCs w:val="24"/>
          <w:lang w:eastAsia="en-GB"/>
        </w:rPr>
      </w:pPr>
      <w:r w:rsidRPr="008B0F95">
        <w:rPr>
          <w:szCs w:val="24"/>
          <w:lang w:eastAsia="en-GB"/>
        </w:rPr>
        <w:t xml:space="preserve">In her quest to provide another form of ‘proof’, Dr Giles explains that special instruments were used to detect alterations, deletions and erasures. On two separate occasions she states that limited testing for erasures was done on </w:t>
      </w:r>
      <w:r w:rsidRPr="008B0F95">
        <w:rPr>
          <w:i/>
          <w:iCs/>
          <w:szCs w:val="24"/>
          <w:lang w:eastAsia="en-GB"/>
        </w:rPr>
        <w:t>blank pages</w:t>
      </w:r>
      <w:r w:rsidRPr="008B0F95">
        <w:rPr>
          <w:szCs w:val="24"/>
          <w:lang w:eastAsia="en-GB"/>
        </w:rPr>
        <w:t xml:space="preserve"> and no evidence was found. The tests were limited because ‘unfortunately, without some manipulation, the Diary pages cannot be subjected to ESDA (Electrostatic Detection Apparatus) examination’. On a separate occasion, the erasure test is again </w:t>
      </w:r>
      <w:r w:rsidRPr="008B0F95">
        <w:rPr>
          <w:szCs w:val="24"/>
          <w:lang w:eastAsia="en-GB"/>
        </w:rPr>
        <w:lastRenderedPageBreak/>
        <w:t xml:space="preserve">performed on </w:t>
      </w:r>
      <w:r w:rsidRPr="008B0F95">
        <w:rPr>
          <w:i/>
          <w:iCs/>
          <w:szCs w:val="24"/>
          <w:lang w:eastAsia="en-GB"/>
        </w:rPr>
        <w:t>blank pages</w:t>
      </w:r>
      <w:r w:rsidRPr="008B0F95">
        <w:rPr>
          <w:szCs w:val="24"/>
          <w:lang w:eastAsia="en-GB"/>
        </w:rPr>
        <w:t xml:space="preserve">; again these pages ‘are not suitable for’ the ESDA technique. No evidence was found. Therefore limited erasure tests were applied only to pages </w:t>
      </w:r>
      <w:r w:rsidRPr="008B0F95">
        <w:rPr>
          <w:i/>
          <w:iCs/>
          <w:szCs w:val="24"/>
          <w:lang w:eastAsia="en-GB"/>
        </w:rPr>
        <w:t>without writing</w:t>
      </w:r>
      <w:r w:rsidRPr="008B0F95">
        <w:rPr>
          <w:szCs w:val="24"/>
          <w:lang w:eastAsia="en-GB"/>
        </w:rPr>
        <w:t xml:space="preserve"> and </w:t>
      </w:r>
      <w:r w:rsidRPr="008B0F95">
        <w:rPr>
          <w:i/>
          <w:iCs/>
          <w:szCs w:val="24"/>
          <w:lang w:eastAsia="en-GB"/>
        </w:rPr>
        <w:t>by chance</w:t>
      </w:r>
      <w:r w:rsidRPr="008B0F95">
        <w:rPr>
          <w:szCs w:val="24"/>
          <w:lang w:eastAsia="en-GB"/>
        </w:rPr>
        <w:t xml:space="preserve"> those blank pages—and only those—were unsuited to ESDA testing. </w:t>
      </w:r>
      <w:r w:rsidRPr="008B0F95">
        <w:rPr>
          <w:i/>
          <w:iCs/>
          <w:szCs w:val="24"/>
          <w:lang w:eastAsia="en-GB"/>
        </w:rPr>
        <w:t xml:space="preserve">No erasure tests were done on any </w:t>
      </w:r>
      <w:r w:rsidRPr="008B0F95">
        <w:rPr>
          <w:b/>
          <w:bCs/>
          <w:i/>
          <w:iCs/>
          <w:szCs w:val="24"/>
          <w:lang w:eastAsia="en-GB"/>
        </w:rPr>
        <w:t>written pages</w:t>
      </w:r>
      <w:r w:rsidRPr="008B0F95">
        <w:rPr>
          <w:i/>
          <w:iCs/>
          <w:szCs w:val="24"/>
          <w:lang w:eastAsia="en-GB"/>
        </w:rPr>
        <w:t xml:space="preserve"> to detect suspected interpolation of contentious writing</w:t>
      </w:r>
      <w:r w:rsidRPr="008B0F95">
        <w:rPr>
          <w:szCs w:val="24"/>
          <w:lang w:eastAsia="en-GB"/>
        </w:rPr>
        <w:t>.</w:t>
      </w:r>
    </w:p>
    <w:p w:rsidR="008B0F95" w:rsidRPr="008B0F95" w:rsidRDefault="008B0F95" w:rsidP="008B0F95">
      <w:pPr>
        <w:spacing w:after="0" w:line="240" w:lineRule="auto"/>
        <w:jc w:val="both"/>
        <w:rPr>
          <w:szCs w:val="24"/>
          <w:lang w:eastAsia="en-GB"/>
        </w:rPr>
      </w:pPr>
      <w:r w:rsidRPr="008B0F95">
        <w:rPr>
          <w:noProof/>
          <w:szCs w:val="24"/>
          <w:lang w:eastAsia="en-GB"/>
        </w:rPr>
        <w:drawing>
          <wp:inline distT="0" distB="0" distL="0" distR="0" wp14:anchorId="6A91DFF6" wp14:editId="7949D421">
            <wp:extent cx="1615440" cy="2857500"/>
            <wp:effectExtent l="0" t="0" r="3810" b="0"/>
            <wp:docPr id="12" name="Picture 12" descr="Above: The 1911 Lett’s Diary, 5–8 January, which, according toDr Giles, contains contentious writings ‘on virtually every page … It is easier to identifyareas where the entries are non-contentious rather than where they are contentious’. No explanation is given for this easier distinction. (UK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ove: The 1911 Lett’s Diary, 5–8 January, which, according toDr Giles, contains contentious writings ‘on virtually every page … It is easier to identifyareas where the entries are non-contentious rather than where they are contentious’. No explanation is given for this easier distinction. (UK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5440" cy="2857500"/>
                    </a:xfrm>
                    <a:prstGeom prst="rect">
                      <a:avLst/>
                    </a:prstGeom>
                    <a:noFill/>
                    <a:ln>
                      <a:noFill/>
                    </a:ln>
                  </pic:spPr>
                </pic:pic>
              </a:graphicData>
            </a:graphic>
          </wp:inline>
        </w:drawing>
      </w:r>
      <w:r w:rsidR="00873B40">
        <w:rPr>
          <w:szCs w:val="24"/>
          <w:lang w:eastAsia="en-GB"/>
        </w:rPr>
        <w:t xml:space="preserve"> </w:t>
      </w:r>
      <w:r w:rsidR="00873B40" w:rsidRPr="00873B40">
        <w:rPr>
          <w:i/>
          <w:szCs w:val="24"/>
          <w:lang w:eastAsia="en-GB"/>
        </w:rPr>
        <w:t>Basil Thomson</w:t>
      </w:r>
    </w:p>
    <w:p w:rsidR="009805D0" w:rsidRDefault="009805D0" w:rsidP="008B0F95">
      <w:pPr>
        <w:spacing w:after="0" w:line="240" w:lineRule="auto"/>
        <w:jc w:val="both"/>
        <w:rPr>
          <w:szCs w:val="24"/>
          <w:lang w:eastAsia="en-GB"/>
        </w:rPr>
      </w:pPr>
    </w:p>
    <w:p w:rsidR="008B0F95" w:rsidRPr="008B0F95" w:rsidRDefault="008B0F95" w:rsidP="008B0F95">
      <w:pPr>
        <w:spacing w:after="0" w:line="240" w:lineRule="auto"/>
        <w:jc w:val="both"/>
        <w:rPr>
          <w:szCs w:val="24"/>
          <w:lang w:eastAsia="en-GB"/>
        </w:rPr>
      </w:pPr>
      <w:r w:rsidRPr="008B0F95">
        <w:rPr>
          <w:szCs w:val="24"/>
          <w:lang w:eastAsia="en-GB"/>
        </w:rPr>
        <w:t xml:space="preserve">Perhaps the most awkward facet of Dr Giles’s approach is when she noted differences in the questioned writings but made them ‘disappear’ by not counting them as significant because such differences must be explained. Unable to find reasonable explanations for significant differences, they became insignificant. Nevertheless, she did not find comparable significant differences in the unquestioned writings. Their absence in the unquestioned writings constitutes sufficient reason to consider the significant differences as evidence of forgery. This point was also made by US document examiner Marcel </w:t>
      </w:r>
      <w:proofErr w:type="spellStart"/>
      <w:r w:rsidRPr="008B0F95">
        <w:rPr>
          <w:szCs w:val="24"/>
          <w:lang w:eastAsia="en-GB"/>
        </w:rPr>
        <w:t>Matley</w:t>
      </w:r>
      <w:proofErr w:type="spellEnd"/>
      <w:r w:rsidRPr="008B0F95">
        <w:rPr>
          <w:szCs w:val="24"/>
          <w:lang w:eastAsia="en-GB"/>
        </w:rPr>
        <w:t xml:space="preserve"> in June 2015: ‘In reality Giles unwittingly proved at least some “contentious entries” were by a different hand’.</w:t>
      </w:r>
    </w:p>
    <w:p w:rsidR="008B0F95" w:rsidRPr="008B0F95" w:rsidRDefault="008B0F95" w:rsidP="008B0F95">
      <w:pPr>
        <w:spacing w:before="100" w:beforeAutospacing="1" w:after="100" w:afterAutospacing="1" w:line="240" w:lineRule="auto"/>
        <w:jc w:val="both"/>
        <w:rPr>
          <w:szCs w:val="24"/>
          <w:lang w:eastAsia="en-GB"/>
        </w:rPr>
      </w:pPr>
      <w:r w:rsidRPr="008B0F95">
        <w:rPr>
          <w:szCs w:val="24"/>
          <w:lang w:eastAsia="en-GB"/>
        </w:rPr>
        <w:t xml:space="preserve">Does the Giles Report </w:t>
      </w:r>
      <w:r w:rsidRPr="008B0F95">
        <w:rPr>
          <w:i/>
          <w:iCs/>
          <w:szCs w:val="24"/>
          <w:lang w:eastAsia="en-GB"/>
        </w:rPr>
        <w:t>actually demonstrate</w:t>
      </w:r>
      <w:r w:rsidRPr="008B0F95">
        <w:rPr>
          <w:szCs w:val="24"/>
          <w:lang w:eastAsia="en-GB"/>
        </w:rPr>
        <w:t xml:space="preserve"> the falsity of its own conclusions? Instead of lucid exposition, what precedes the conclusion is a verbal smokescreen composed of ambiguity, repetitions, irrelevant data, deceptions, omissions, </w:t>
      </w:r>
      <w:r w:rsidRPr="008B0F95">
        <w:rPr>
          <w:i/>
          <w:iCs/>
          <w:szCs w:val="24"/>
          <w:lang w:eastAsia="en-GB"/>
        </w:rPr>
        <w:t>ex cathedra</w:t>
      </w:r>
      <w:r w:rsidRPr="008B0F95">
        <w:rPr>
          <w:szCs w:val="24"/>
          <w:lang w:eastAsia="en-GB"/>
        </w:rPr>
        <w:t xml:space="preserve"> pronouncements and disinformation. A century on from their miraculous appearance, the provenance of the Black Diaries has not been determined. The release of the ‘discovery’ document (MEPO 2/10672) in 2001 after 85 years of secrecy met with ominous silence. This police list of personal effects allegedly found in Casement’s trunks, date-stamped 28 July 1916, adds one more version to Thomson’s four conflicting versions and to that recorded in the interrogation transcript. The Giles Report, despite its scientific veneer, cannot eliminate the fact that there are now </w:t>
      </w:r>
      <w:r w:rsidRPr="008B0F95">
        <w:rPr>
          <w:i/>
          <w:iCs/>
          <w:szCs w:val="24"/>
          <w:lang w:eastAsia="en-GB"/>
        </w:rPr>
        <w:t>six</w:t>
      </w:r>
      <w:r w:rsidRPr="008B0F95">
        <w:rPr>
          <w:szCs w:val="24"/>
          <w:lang w:eastAsia="en-GB"/>
        </w:rPr>
        <w:t xml:space="preserve"> versions of discovery of the diaries. That a single credible account of the provenance of the crucial documents cannot be produced after 100 years reveals dangerous instability in the foundations of the authenticity edifice.</w:t>
      </w:r>
    </w:p>
    <w:p w:rsidR="008B0F95" w:rsidRPr="008B0F95" w:rsidRDefault="008B0F95" w:rsidP="008B0F95">
      <w:pPr>
        <w:spacing w:before="100" w:beforeAutospacing="1" w:after="100" w:afterAutospacing="1" w:line="240" w:lineRule="auto"/>
        <w:jc w:val="both"/>
        <w:rPr>
          <w:szCs w:val="24"/>
          <w:lang w:eastAsia="en-GB"/>
        </w:rPr>
      </w:pPr>
      <w:r w:rsidRPr="008B0F95">
        <w:rPr>
          <w:i/>
          <w:iCs/>
          <w:szCs w:val="24"/>
          <w:lang w:eastAsia="en-GB"/>
        </w:rPr>
        <w:t>Paul Hyde</w:t>
      </w:r>
      <w:r w:rsidRPr="008B0F95">
        <w:rPr>
          <w:szCs w:val="24"/>
          <w:lang w:eastAsia="en-GB"/>
        </w:rPr>
        <w:t xml:space="preserve"> is a retired university lecturer.</w:t>
      </w:r>
    </w:p>
    <w:p w:rsidR="0024684B" w:rsidRDefault="008B0F95" w:rsidP="008B0F95">
      <w:pPr>
        <w:spacing w:before="100" w:beforeAutospacing="1" w:after="100" w:afterAutospacing="1" w:line="240" w:lineRule="auto"/>
        <w:jc w:val="both"/>
        <w:rPr>
          <w:szCs w:val="24"/>
          <w:lang w:eastAsia="en-GB"/>
        </w:rPr>
      </w:pPr>
      <w:r w:rsidRPr="008B0F95">
        <w:rPr>
          <w:szCs w:val="24"/>
          <w:lang w:eastAsia="en-GB"/>
        </w:rPr>
        <w:t>FURTHER READING</w:t>
      </w:r>
    </w:p>
    <w:p w:rsidR="008B0F95" w:rsidRPr="008B0F95" w:rsidRDefault="008B0F95" w:rsidP="008B0F95">
      <w:pPr>
        <w:spacing w:before="100" w:beforeAutospacing="1" w:after="100" w:afterAutospacing="1" w:line="240" w:lineRule="auto"/>
        <w:jc w:val="both"/>
        <w:rPr>
          <w:szCs w:val="24"/>
          <w:lang w:eastAsia="en-GB"/>
        </w:rPr>
      </w:pPr>
      <w:r w:rsidRPr="008B0F95">
        <w:rPr>
          <w:szCs w:val="24"/>
          <w:lang w:eastAsia="en-GB"/>
        </w:rPr>
        <w:t xml:space="preserve">Mary E. Daly (ed.), </w:t>
      </w:r>
      <w:r w:rsidRPr="008B0F95">
        <w:rPr>
          <w:i/>
          <w:iCs/>
          <w:szCs w:val="24"/>
          <w:lang w:eastAsia="en-GB"/>
        </w:rPr>
        <w:t>Roger Casement in Irish and world history</w:t>
      </w:r>
      <w:r w:rsidRPr="008B0F95">
        <w:rPr>
          <w:szCs w:val="24"/>
          <w:lang w:eastAsia="en-GB"/>
        </w:rPr>
        <w:t xml:space="preserve"> (Dublin, 2005).</w:t>
      </w:r>
      <w:r w:rsidRPr="008B0F95">
        <w:rPr>
          <w:szCs w:val="24"/>
          <w:lang w:eastAsia="en-GB"/>
        </w:rPr>
        <w:br/>
        <w:t xml:space="preserve">P. Hyde, ‘Lost to history: an assessment and review of the Casement Black Diaries’, </w:t>
      </w:r>
      <w:hyperlink r:id="rId14" w:history="1">
        <w:r w:rsidR="0036123B" w:rsidRPr="00D11763">
          <w:rPr>
            <w:rStyle w:val="Hyperlink"/>
            <w:szCs w:val="24"/>
            <w:lang w:eastAsia="en-GB"/>
          </w:rPr>
          <w:t>https://breac.nd.edu/articles/65746-lost-to-history-an-assessment-and-review-of-the-casement-black-diaries</w:t>
        </w:r>
      </w:hyperlink>
      <w:r w:rsidR="0036123B">
        <w:rPr>
          <w:szCs w:val="24"/>
          <w:lang w:eastAsia="en-GB"/>
        </w:rPr>
        <w:t xml:space="preserve"> </w:t>
      </w:r>
    </w:p>
    <w:p w:rsidR="006B24A8" w:rsidRPr="00873B40" w:rsidRDefault="009805D0" w:rsidP="00873B40">
      <w:pPr>
        <w:spacing w:after="0" w:line="240" w:lineRule="auto"/>
        <w:jc w:val="both"/>
        <w:rPr>
          <w:b/>
          <w:bCs/>
          <w:kern w:val="36"/>
          <w:sz w:val="36"/>
          <w:szCs w:val="36"/>
          <w:lang w:eastAsia="en-GB"/>
        </w:rPr>
      </w:pPr>
      <w:r>
        <w:rPr>
          <w:b/>
          <w:bCs/>
          <w:kern w:val="36"/>
          <w:sz w:val="48"/>
          <w:szCs w:val="48"/>
          <w:lang w:eastAsia="en-GB"/>
        </w:rPr>
        <w:br w:type="page"/>
      </w:r>
      <w:r w:rsidR="00873B40" w:rsidRPr="00873B40">
        <w:rPr>
          <w:b/>
          <w:bCs/>
          <w:kern w:val="36"/>
          <w:sz w:val="36"/>
          <w:szCs w:val="36"/>
          <w:lang w:eastAsia="en-GB"/>
        </w:rPr>
        <w:lastRenderedPageBreak/>
        <w:t>R</w:t>
      </w:r>
      <w:r w:rsidR="006B24A8" w:rsidRPr="00873B40">
        <w:rPr>
          <w:b/>
          <w:bCs/>
          <w:kern w:val="36"/>
          <w:sz w:val="36"/>
          <w:szCs w:val="36"/>
          <w:lang w:eastAsia="en-GB"/>
        </w:rPr>
        <w:t>EPUTATIONS: Roger Casement and the history question</w:t>
      </w:r>
    </w:p>
    <w:p w:rsidR="006B24A8" w:rsidRPr="006B24A8" w:rsidRDefault="006B24A8" w:rsidP="00873B40">
      <w:pPr>
        <w:spacing w:before="100" w:beforeAutospacing="1" w:after="100" w:afterAutospacing="1" w:line="240" w:lineRule="auto"/>
        <w:jc w:val="center"/>
        <w:outlineLvl w:val="2"/>
        <w:rPr>
          <w:b/>
          <w:bCs/>
          <w:sz w:val="27"/>
          <w:szCs w:val="27"/>
          <w:lang w:eastAsia="en-GB"/>
        </w:rPr>
      </w:pPr>
      <w:r w:rsidRPr="006B24A8">
        <w:rPr>
          <w:b/>
          <w:bCs/>
          <w:sz w:val="27"/>
          <w:szCs w:val="27"/>
          <w:lang w:eastAsia="en-GB"/>
        </w:rPr>
        <w:t>IRRESPECTIVE OF THE QUESTION OF THEIR AUTHENTICITY, IT IS NOW UNIVERSALLY AGREED THAT THE BLACK DIARIES WERE INTEGRAL TO A SMEAR CAMPAIGN CONJURED UP IN 1916 TO RAILROAD CASEMENT TO THE GALLOWS AND DENY HIM THE MORAL HIGH GROUND THAT HELPED TO JUSTIFY THE IRISH REBELLION.</w:t>
      </w:r>
    </w:p>
    <w:p w:rsidR="008B0F95" w:rsidRDefault="006B24A8" w:rsidP="008B0F95">
      <w:pPr>
        <w:spacing w:before="100" w:beforeAutospacing="1" w:after="100" w:afterAutospacing="1" w:line="240" w:lineRule="auto"/>
        <w:jc w:val="both"/>
        <w:rPr>
          <w:i/>
          <w:iCs/>
          <w:szCs w:val="24"/>
          <w:lang w:eastAsia="en-GB"/>
        </w:rPr>
      </w:pPr>
      <w:r w:rsidRPr="006B24A8">
        <w:rPr>
          <w:i/>
          <w:iCs/>
          <w:szCs w:val="24"/>
          <w:lang w:eastAsia="en-GB"/>
        </w:rPr>
        <w:t>By Angus Mitchell</w:t>
      </w:r>
    </w:p>
    <w:p w:rsidR="006B24A8" w:rsidRPr="006B24A8" w:rsidRDefault="006B24A8" w:rsidP="008B0F95">
      <w:pPr>
        <w:spacing w:before="100" w:beforeAutospacing="1" w:after="100" w:afterAutospacing="1" w:line="240" w:lineRule="auto"/>
        <w:jc w:val="both"/>
        <w:rPr>
          <w:szCs w:val="24"/>
          <w:lang w:eastAsia="en-GB"/>
        </w:rPr>
      </w:pPr>
      <w:r w:rsidRPr="006B24A8">
        <w:rPr>
          <w:i/>
          <w:iCs/>
          <w:szCs w:val="24"/>
          <w:lang w:eastAsia="en-GB"/>
        </w:rPr>
        <w:t>One bold deed of open treason: the Berlin diary of Roger Casement 1914–1916</w:t>
      </w:r>
      <w:r w:rsidRPr="006B24A8">
        <w:rPr>
          <w:szCs w:val="24"/>
          <w:lang w:eastAsia="en-GB"/>
        </w:rPr>
        <w:t xml:space="preserve"> becomes my third edited volume in the retrieval of the Casement archive. This project began back in 1997 with the publication of </w:t>
      </w:r>
      <w:r w:rsidRPr="006B24A8">
        <w:rPr>
          <w:i/>
          <w:iCs/>
          <w:szCs w:val="24"/>
          <w:lang w:eastAsia="en-GB"/>
        </w:rPr>
        <w:t>The Amazon journal of Roger Casement</w:t>
      </w:r>
      <w:r w:rsidRPr="006B24A8">
        <w:rPr>
          <w:szCs w:val="24"/>
          <w:lang w:eastAsia="en-GB"/>
        </w:rPr>
        <w:t xml:space="preserve"> and was followed by </w:t>
      </w:r>
      <w:r w:rsidRPr="006B24A8">
        <w:rPr>
          <w:i/>
          <w:iCs/>
          <w:szCs w:val="24"/>
          <w:lang w:eastAsia="en-GB"/>
        </w:rPr>
        <w:t>Sir Roger Casement’s heart of darkness</w:t>
      </w:r>
      <w:r w:rsidRPr="006B24A8">
        <w:rPr>
          <w:szCs w:val="24"/>
          <w:lang w:eastAsia="en-GB"/>
        </w:rPr>
        <w:t xml:space="preserve"> (reviewed in HI 11.4, </w:t>
      </w:r>
      <w:proofErr w:type="gramStart"/>
      <w:r w:rsidRPr="006B24A8">
        <w:rPr>
          <w:szCs w:val="24"/>
          <w:lang w:eastAsia="en-GB"/>
        </w:rPr>
        <w:t>Winter</w:t>
      </w:r>
      <w:proofErr w:type="gramEnd"/>
      <w:r w:rsidRPr="006B24A8">
        <w:rPr>
          <w:szCs w:val="24"/>
          <w:lang w:eastAsia="en-GB"/>
        </w:rPr>
        <w:t xml:space="preserve"> 2003). These initial two volumes enabled a deeper reading of the critical years 1910 and 1911. This third edition covers Casement’s time in Germany following the outbreak of the First World War. Cumulatively, the volumes provide insight into one of the more complex and misunderstood Irish activists of the revolutionary generation and his internationalism. On another level, the texts facilitate a new way of analysing the Black Diaries’ controversy (see HI 9.2, </w:t>
      </w:r>
      <w:proofErr w:type="gramStart"/>
      <w:r w:rsidRPr="006B24A8">
        <w:rPr>
          <w:szCs w:val="24"/>
          <w:lang w:eastAsia="en-GB"/>
        </w:rPr>
        <w:t>Summer</w:t>
      </w:r>
      <w:proofErr w:type="gramEnd"/>
      <w:r w:rsidRPr="006B24A8">
        <w:rPr>
          <w:szCs w:val="24"/>
          <w:lang w:eastAsia="en-GB"/>
        </w:rPr>
        <w:t xml:space="preserve"> 2001, pp 42–5).</w:t>
      </w:r>
    </w:p>
    <w:p w:rsidR="006B24A8" w:rsidRPr="006B24A8" w:rsidRDefault="006B24A8" w:rsidP="008B0F95">
      <w:pPr>
        <w:spacing w:after="0" w:line="240" w:lineRule="auto"/>
        <w:jc w:val="both"/>
        <w:rPr>
          <w:szCs w:val="24"/>
          <w:lang w:eastAsia="en-GB"/>
        </w:rPr>
      </w:pPr>
      <w:r w:rsidRPr="006B24A8">
        <w:rPr>
          <w:noProof/>
          <w:szCs w:val="24"/>
          <w:lang w:eastAsia="en-GB"/>
        </w:rPr>
        <w:drawing>
          <wp:inline distT="0" distB="0" distL="0" distR="0" wp14:anchorId="127A9BDF" wp14:editId="04BA8492">
            <wp:extent cx="2857500" cy="2301240"/>
            <wp:effectExtent l="0" t="0" r="0" b="3810"/>
            <wp:docPr id="6" name="Picture 6" descr="Above: Casement with John Devoy, leader of Clan na Gael, in New York during the July crisis of 1914, where the Berlin diary narrative begins. (Villanov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ve: Casement with John Devoy, leader of Clan na Gael, in New York during the July crisis of 1914, where the Berlin diary narrative begins. (Villanova Univers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301240"/>
                    </a:xfrm>
                    <a:prstGeom prst="rect">
                      <a:avLst/>
                    </a:prstGeom>
                    <a:noFill/>
                    <a:ln>
                      <a:noFill/>
                    </a:ln>
                  </pic:spPr>
                </pic:pic>
              </a:graphicData>
            </a:graphic>
          </wp:inline>
        </w:drawing>
      </w:r>
    </w:p>
    <w:p w:rsidR="006B24A8" w:rsidRPr="006B24A8" w:rsidRDefault="006B24A8" w:rsidP="008B0F95">
      <w:pPr>
        <w:spacing w:before="100" w:beforeAutospacing="1" w:after="100" w:afterAutospacing="1" w:line="240" w:lineRule="auto"/>
        <w:jc w:val="both"/>
        <w:rPr>
          <w:i/>
          <w:szCs w:val="24"/>
          <w:lang w:eastAsia="en-GB"/>
        </w:rPr>
      </w:pPr>
      <w:r w:rsidRPr="006B24A8">
        <w:rPr>
          <w:i/>
          <w:szCs w:val="24"/>
          <w:lang w:eastAsia="en-GB"/>
        </w:rPr>
        <w:t xml:space="preserve">Above: Casement with John Devoy, leader of Clan </w:t>
      </w:r>
      <w:proofErr w:type="gramStart"/>
      <w:r w:rsidRPr="006B24A8">
        <w:rPr>
          <w:i/>
          <w:szCs w:val="24"/>
          <w:lang w:eastAsia="en-GB"/>
        </w:rPr>
        <w:t>na</w:t>
      </w:r>
      <w:proofErr w:type="gramEnd"/>
      <w:r w:rsidRPr="006B24A8">
        <w:rPr>
          <w:i/>
          <w:szCs w:val="24"/>
          <w:lang w:eastAsia="en-GB"/>
        </w:rPr>
        <w:t xml:space="preserve"> Gael, in New York during the July crisis of 1914, where the Berlin diary narrative begins. (Villanova University)</w:t>
      </w:r>
    </w:p>
    <w:p w:rsidR="0024684B" w:rsidRDefault="006B24A8" w:rsidP="008B0F95">
      <w:pPr>
        <w:spacing w:after="0" w:line="240" w:lineRule="auto"/>
        <w:jc w:val="both"/>
        <w:rPr>
          <w:b/>
          <w:bCs/>
          <w:szCs w:val="24"/>
          <w:lang w:eastAsia="en-GB"/>
        </w:rPr>
      </w:pPr>
      <w:r w:rsidRPr="006B24A8">
        <w:rPr>
          <w:b/>
          <w:bCs/>
          <w:szCs w:val="24"/>
          <w:lang w:eastAsia="en-GB"/>
        </w:rPr>
        <w:t>Berlin diary</w:t>
      </w:r>
    </w:p>
    <w:p w:rsidR="006B24A8" w:rsidRDefault="006B24A8" w:rsidP="008B0F95">
      <w:pPr>
        <w:spacing w:after="0" w:line="240" w:lineRule="auto"/>
        <w:jc w:val="both"/>
        <w:rPr>
          <w:szCs w:val="24"/>
          <w:lang w:eastAsia="en-GB"/>
        </w:rPr>
      </w:pPr>
      <w:r w:rsidRPr="006B24A8">
        <w:rPr>
          <w:szCs w:val="24"/>
          <w:lang w:eastAsia="en-GB"/>
        </w:rPr>
        <w:t xml:space="preserve">In his Berlin diary, Casement divulges his deeper political intentions behind diary-writing. On his departure from Germany for Ireland in April 1916, he left clear and explicit instructions for the safekeeping of this document, despite the fact that it was intentionally self-incriminating and explained the logic behind his treason. In his own words, the reader is led into an entangled conspiracy against his former British Foreign Office colleagues. The narrative begins during the July crisis of 1914, with Casement arriving in New York (spied on from every side) to liaise and plot with the Irish Republican Brotherhood executive. His own credibility with other revolutionary leaders reaches a high point in the wake of the successful landing of guns at Howth and </w:t>
      </w:r>
      <w:proofErr w:type="spellStart"/>
      <w:r w:rsidRPr="006B24A8">
        <w:rPr>
          <w:szCs w:val="24"/>
          <w:lang w:eastAsia="en-GB"/>
        </w:rPr>
        <w:t>Kilcoole</w:t>
      </w:r>
      <w:proofErr w:type="spellEnd"/>
      <w:r w:rsidRPr="006B24A8">
        <w:rPr>
          <w:szCs w:val="24"/>
          <w:lang w:eastAsia="en-GB"/>
        </w:rPr>
        <w:t xml:space="preserve">. In late October, after leaving the US, Casement passed through Christiania (Oslo) on his way to Berlin. By then he had become a high security risk and efforts were made by British secret services to have him ‘knocked on the head’—in short, assassinated. </w:t>
      </w:r>
    </w:p>
    <w:p w:rsidR="008B0F95" w:rsidRPr="006B24A8" w:rsidRDefault="008B0F95" w:rsidP="008B0F95">
      <w:pPr>
        <w:spacing w:after="0" w:line="240" w:lineRule="auto"/>
        <w:jc w:val="both"/>
        <w:rPr>
          <w:szCs w:val="24"/>
          <w:lang w:eastAsia="en-GB"/>
        </w:rPr>
      </w:pPr>
    </w:p>
    <w:p w:rsidR="006B24A8" w:rsidRPr="006B24A8" w:rsidRDefault="006B24A8" w:rsidP="008B0F95">
      <w:pPr>
        <w:spacing w:after="0" w:line="240" w:lineRule="auto"/>
        <w:jc w:val="both"/>
        <w:rPr>
          <w:szCs w:val="24"/>
          <w:lang w:eastAsia="en-GB"/>
        </w:rPr>
      </w:pPr>
      <w:r w:rsidRPr="006B24A8">
        <w:rPr>
          <w:noProof/>
          <w:szCs w:val="24"/>
          <w:lang w:eastAsia="en-GB"/>
        </w:rPr>
        <w:lastRenderedPageBreak/>
        <w:drawing>
          <wp:inline distT="0" distB="0" distL="0" distR="0" wp14:anchorId="027C7E41" wp14:editId="7D043357">
            <wp:extent cx="5715000" cy="3131820"/>
            <wp:effectExtent l="0" t="0" r="0" b="0"/>
            <wp:docPr id="7" name="Picture 7" descr="Above: Recruits to Casement’s Irish Brigade pictured in Germany—half of the total of 56 who joined up. His largely futile efforts to raise an Irish Brigade caused him deepening levels of frustration. (N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ve: Recruits to Casement’s Irish Brigade pictured in Germany—half of the total of 56 who joined up. His largely futile efforts to raise an Irish Brigade caused him deepening levels of frustration. (NM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131820"/>
                    </a:xfrm>
                    <a:prstGeom prst="rect">
                      <a:avLst/>
                    </a:prstGeom>
                    <a:noFill/>
                    <a:ln>
                      <a:noFill/>
                    </a:ln>
                  </pic:spPr>
                </pic:pic>
              </a:graphicData>
            </a:graphic>
          </wp:inline>
        </w:drawing>
      </w:r>
    </w:p>
    <w:p w:rsidR="006B24A8" w:rsidRPr="006B24A8" w:rsidRDefault="006B24A8" w:rsidP="008B0F95">
      <w:pPr>
        <w:spacing w:before="100" w:beforeAutospacing="1" w:after="100" w:afterAutospacing="1" w:line="240" w:lineRule="auto"/>
        <w:jc w:val="both"/>
        <w:rPr>
          <w:i/>
          <w:szCs w:val="24"/>
          <w:lang w:eastAsia="en-GB"/>
        </w:rPr>
      </w:pPr>
      <w:r w:rsidRPr="006B24A8">
        <w:rPr>
          <w:i/>
          <w:szCs w:val="24"/>
          <w:lang w:eastAsia="en-GB"/>
        </w:rPr>
        <w:t>Above: Recruits to Casement’s Irish Brigade pictured in Germany—half of the total of 56 who joined up. His largely futile efforts to raise an Irish Brigade caused him deepening levels of frustration. (NMI)</w:t>
      </w:r>
    </w:p>
    <w:p w:rsidR="006B24A8" w:rsidRPr="006B24A8" w:rsidRDefault="006B24A8" w:rsidP="008B0F95">
      <w:pPr>
        <w:spacing w:before="100" w:beforeAutospacing="1" w:after="100" w:afterAutospacing="1" w:line="240" w:lineRule="auto"/>
        <w:jc w:val="both"/>
        <w:rPr>
          <w:szCs w:val="24"/>
          <w:lang w:eastAsia="en-GB"/>
        </w:rPr>
      </w:pPr>
      <w:r w:rsidRPr="006B24A8">
        <w:rPr>
          <w:szCs w:val="24"/>
          <w:lang w:eastAsia="en-GB"/>
        </w:rPr>
        <w:t xml:space="preserve">In Berlin, Casement entered into a long process of negotiations with different tentacles of Imperial Germany’s wartime government. His journey through Belgium to the Western Front to meet senior officers in the German general staff is described. He details his subsequent conversation with the chancellor, Theobald von Bethmann Hollweg, and other senior politicians. His largely futile efforts to raise an Irish Brigade display deepening levels of frustration. The diary cuts out from late February 1915 to March 1916; then it revives as Casement prepares to leave Germany for Ireland to try and stop the rebellion or stand and die beside his comrades. </w:t>
      </w:r>
    </w:p>
    <w:p w:rsidR="006B24A8" w:rsidRPr="006B24A8" w:rsidRDefault="006B24A8" w:rsidP="008B0F95">
      <w:pPr>
        <w:spacing w:before="100" w:beforeAutospacing="1" w:after="100" w:afterAutospacing="1" w:line="240" w:lineRule="auto"/>
        <w:jc w:val="both"/>
        <w:rPr>
          <w:szCs w:val="24"/>
          <w:lang w:eastAsia="en-GB"/>
        </w:rPr>
      </w:pPr>
      <w:r w:rsidRPr="006B24A8">
        <w:rPr>
          <w:szCs w:val="24"/>
          <w:lang w:eastAsia="en-GB"/>
        </w:rPr>
        <w:t xml:space="preserve">Beyond what the diary tells us of Casement’s ‘treason’, the narrative provides intriguing insight into the covert world of both British and German wartime intelligence agencies. His heated encounters with the German spymaster Rudolf Nadolny (grandfather of the acclaimed German novelist </w:t>
      </w:r>
      <w:proofErr w:type="spellStart"/>
      <w:r w:rsidRPr="006B24A8">
        <w:rPr>
          <w:szCs w:val="24"/>
          <w:lang w:eastAsia="en-GB"/>
        </w:rPr>
        <w:t>Sten</w:t>
      </w:r>
      <w:proofErr w:type="spellEnd"/>
      <w:r w:rsidRPr="006B24A8">
        <w:rPr>
          <w:szCs w:val="24"/>
          <w:lang w:eastAsia="en-GB"/>
        </w:rPr>
        <w:t xml:space="preserve"> Nadolny, author of </w:t>
      </w:r>
      <w:proofErr w:type="gramStart"/>
      <w:r w:rsidRPr="006B24A8">
        <w:rPr>
          <w:i/>
          <w:iCs/>
          <w:szCs w:val="24"/>
          <w:lang w:eastAsia="en-GB"/>
        </w:rPr>
        <w:t>The</w:t>
      </w:r>
      <w:proofErr w:type="gramEnd"/>
      <w:r w:rsidRPr="006B24A8">
        <w:rPr>
          <w:i/>
          <w:iCs/>
          <w:szCs w:val="24"/>
          <w:lang w:eastAsia="en-GB"/>
        </w:rPr>
        <w:t xml:space="preserve"> discovery of slowness</w:t>
      </w:r>
      <w:r w:rsidRPr="006B24A8">
        <w:rPr>
          <w:szCs w:val="24"/>
          <w:lang w:eastAsia="en-GB"/>
        </w:rPr>
        <w:t xml:space="preserve">) afford insight into the inner workings of the Prussian war machine. On another level, the deepening intrigue exposes further motives as to why the question of Casement’s diaries persisted as an issue. In the course of his Berlin confession, Casement describes how he consciously forges extracts from his diary in a scheme to deceive the British Foreign Office. When lengthy excerpts from the Berlin diary were published in the US, Ireland and Germany during the signing and implementation of the Anglo-Irish treaty between November 1921 and February 1922, the spectre of the Black Diaries returned. </w:t>
      </w:r>
    </w:p>
    <w:p w:rsidR="006B24A8" w:rsidRPr="006B24A8" w:rsidRDefault="006B24A8" w:rsidP="008B0F95">
      <w:pPr>
        <w:spacing w:before="100" w:beforeAutospacing="1" w:after="100" w:afterAutospacing="1" w:line="240" w:lineRule="auto"/>
        <w:jc w:val="both"/>
        <w:rPr>
          <w:szCs w:val="24"/>
          <w:lang w:eastAsia="en-GB"/>
        </w:rPr>
      </w:pPr>
      <w:r w:rsidRPr="006B24A8">
        <w:rPr>
          <w:b/>
          <w:bCs/>
          <w:szCs w:val="24"/>
          <w:lang w:eastAsia="en-GB"/>
        </w:rPr>
        <w:t>Homophobia</w:t>
      </w:r>
      <w:r w:rsidRPr="006B24A8">
        <w:rPr>
          <w:szCs w:val="24"/>
          <w:lang w:eastAsia="en-GB"/>
        </w:rPr>
        <w:br/>
        <w:t xml:space="preserve">In a sense Casement </w:t>
      </w:r>
      <w:r w:rsidRPr="006B24A8">
        <w:rPr>
          <w:i/>
          <w:iCs/>
          <w:szCs w:val="24"/>
          <w:lang w:eastAsia="en-GB"/>
        </w:rPr>
        <w:t>was</w:t>
      </w:r>
      <w:r w:rsidRPr="006B24A8">
        <w:rPr>
          <w:szCs w:val="24"/>
          <w:lang w:eastAsia="en-GB"/>
        </w:rPr>
        <w:t xml:space="preserve"> a ‘gay martyr’: the incitement of popular homophobia was intrinsic to ensuring his execution and denigrating his meaning among his national and international networks of support. Moreover, there are revealing links between his trial and the later negotiations of Irish independence. Casement’s prosecutor, Lord Birkenhead, and his defence solicitor, George Gavan Duffy, were both signatories of the Anglo-Irish Treaty. Authentication of the Black Diaries became part of the secret negotiation in the background to the treaty. Their endorsement was part of the secret history of the Irish independence struggle. Why else would Collins have opened an official file series in 1922 labelled ‘Alleged Casement Diaries’?</w:t>
      </w:r>
    </w:p>
    <w:p w:rsidR="006B24A8" w:rsidRPr="006B24A8" w:rsidRDefault="006B24A8" w:rsidP="008B0F95">
      <w:pPr>
        <w:spacing w:before="100" w:beforeAutospacing="1" w:after="100" w:afterAutospacing="1" w:line="240" w:lineRule="auto"/>
        <w:jc w:val="both"/>
        <w:rPr>
          <w:szCs w:val="24"/>
          <w:lang w:eastAsia="en-GB"/>
        </w:rPr>
      </w:pPr>
      <w:r w:rsidRPr="006B24A8">
        <w:rPr>
          <w:szCs w:val="24"/>
          <w:lang w:eastAsia="en-GB"/>
        </w:rPr>
        <w:lastRenderedPageBreak/>
        <w:t xml:space="preserve">This set the Irish state down the road of a deeply ambivalent relationship with both the Black Diaries and Casement. On one side, there was a need to recognise the role that Casement played in the move towards and justification of rebellion and as a founding father of an independent Irish foreign policy. On the other side, accepting the authenticity of the Black Diaries was an undisclosed element in the Irish Free State deal. This unplayable hand would define the dispute over Casement’s legacy in the Anglo-Irish history wars of the next century and culminating in this year of commemoration. </w:t>
      </w:r>
    </w:p>
    <w:p w:rsidR="006B24A8" w:rsidRPr="006B24A8" w:rsidRDefault="006B24A8" w:rsidP="008B0F95">
      <w:pPr>
        <w:spacing w:before="100" w:beforeAutospacing="1" w:after="100" w:afterAutospacing="1" w:line="240" w:lineRule="auto"/>
        <w:jc w:val="both"/>
        <w:rPr>
          <w:szCs w:val="24"/>
          <w:lang w:eastAsia="en-GB"/>
        </w:rPr>
      </w:pPr>
      <w:r w:rsidRPr="006B24A8">
        <w:rPr>
          <w:szCs w:val="24"/>
          <w:lang w:eastAsia="en-GB"/>
        </w:rPr>
        <w:t xml:space="preserve">In England, the diaries helped in a different type of cultural construction, leading to the disremembering of Casement within British imperial history. After years of denial of their very existence, the Black Diaries passed in 1959 into the custody of the Public Record Office, rebranded today as the National Archives (UK). Researchers seeking access were carefully vetted by the Home Office and required permission from the incumbent home secretary. On the return of Casement’s bones to Ireland in 1965, a further understanding was agreed between London and Dublin that essentially closed down open discussion on the diaries’ controversy for another 30 years. </w:t>
      </w:r>
    </w:p>
    <w:p w:rsidR="0024684B" w:rsidRDefault="006B24A8" w:rsidP="008B0F95">
      <w:pPr>
        <w:spacing w:before="100" w:beforeAutospacing="1" w:after="100" w:afterAutospacing="1" w:line="240" w:lineRule="auto"/>
        <w:jc w:val="both"/>
        <w:rPr>
          <w:b/>
          <w:bCs/>
          <w:szCs w:val="24"/>
          <w:lang w:eastAsia="en-GB"/>
        </w:rPr>
      </w:pPr>
      <w:r w:rsidRPr="006B24A8">
        <w:rPr>
          <w:b/>
          <w:bCs/>
          <w:szCs w:val="24"/>
          <w:lang w:eastAsia="en-GB"/>
        </w:rPr>
        <w:t>Psychological biographies</w:t>
      </w:r>
    </w:p>
    <w:p w:rsidR="006B24A8" w:rsidRPr="006B24A8" w:rsidRDefault="006B24A8" w:rsidP="008B0F95">
      <w:pPr>
        <w:spacing w:before="100" w:beforeAutospacing="1" w:after="100" w:afterAutospacing="1" w:line="240" w:lineRule="auto"/>
        <w:jc w:val="both"/>
        <w:rPr>
          <w:szCs w:val="24"/>
          <w:lang w:eastAsia="en-GB"/>
        </w:rPr>
      </w:pPr>
      <w:r w:rsidRPr="006B24A8">
        <w:rPr>
          <w:szCs w:val="24"/>
          <w:lang w:eastAsia="en-GB"/>
        </w:rPr>
        <w:t>During that period, public consensus regarding the veracity of the Black Diaries was built through the publication of a steady stream of psychological biographies that locked the Black Diaries into the heart of Casement’s life. This intervention primed Casement to become a ‘gay icon’ as much as a national liberator. But messages remained mixed.</w:t>
      </w:r>
    </w:p>
    <w:p w:rsidR="006B24A8" w:rsidRPr="006B24A8" w:rsidRDefault="006B24A8" w:rsidP="008B0F95">
      <w:pPr>
        <w:spacing w:before="100" w:beforeAutospacing="1" w:after="100" w:afterAutospacing="1" w:line="240" w:lineRule="auto"/>
        <w:jc w:val="both"/>
        <w:rPr>
          <w:szCs w:val="24"/>
          <w:lang w:eastAsia="en-GB"/>
        </w:rPr>
      </w:pPr>
      <w:r w:rsidRPr="006B24A8">
        <w:rPr>
          <w:szCs w:val="24"/>
          <w:lang w:eastAsia="en-GB"/>
        </w:rPr>
        <w:t xml:space="preserve">In the summer of 1994, on the release of the Black Diaries into the public domain, Professor Paul Bew wrote a controversial article in </w:t>
      </w:r>
      <w:r w:rsidRPr="006B24A8">
        <w:rPr>
          <w:i/>
          <w:iCs/>
          <w:szCs w:val="24"/>
          <w:lang w:eastAsia="en-GB"/>
        </w:rPr>
        <w:t>History Ireland</w:t>
      </w:r>
      <w:r w:rsidRPr="006B24A8">
        <w:rPr>
          <w:szCs w:val="24"/>
          <w:lang w:eastAsia="en-GB"/>
        </w:rPr>
        <w:t xml:space="preserve"> (</w:t>
      </w:r>
      <w:r w:rsidRPr="006B24A8">
        <w:rPr>
          <w:i/>
          <w:iCs/>
          <w:szCs w:val="24"/>
          <w:lang w:eastAsia="en-GB"/>
        </w:rPr>
        <w:t>HI 2.2</w:t>
      </w:r>
      <w:r w:rsidRPr="006B24A8">
        <w:rPr>
          <w:szCs w:val="24"/>
          <w:lang w:eastAsia="en-GB"/>
        </w:rPr>
        <w:t xml:space="preserve">, Summer 1994, pp 41–5) arguing unequivocally for the authenticity of the diaries. A few months later, Professor Stephen Howe, reviewing Edward Said’s </w:t>
      </w:r>
      <w:r w:rsidRPr="006B24A8">
        <w:rPr>
          <w:i/>
          <w:iCs/>
          <w:szCs w:val="24"/>
          <w:lang w:eastAsia="en-GB"/>
        </w:rPr>
        <w:t>Orientalism</w:t>
      </w:r>
      <w:r w:rsidRPr="006B24A8">
        <w:rPr>
          <w:szCs w:val="24"/>
          <w:lang w:eastAsia="en-GB"/>
        </w:rPr>
        <w:t xml:space="preserve"> for the </w:t>
      </w:r>
      <w:r w:rsidRPr="006B24A8">
        <w:rPr>
          <w:i/>
          <w:iCs/>
          <w:szCs w:val="24"/>
          <w:lang w:eastAsia="en-GB"/>
        </w:rPr>
        <w:t>New Statesman</w:t>
      </w:r>
      <w:r w:rsidRPr="006B24A8">
        <w:rPr>
          <w:szCs w:val="24"/>
          <w:lang w:eastAsia="en-GB"/>
        </w:rPr>
        <w:t xml:space="preserve"> (24 February 1995), commented that ‘the diary was almost certainly forged by the British government to aid in railroading Casement to the gallows’. </w:t>
      </w:r>
    </w:p>
    <w:p w:rsidR="006B24A8" w:rsidRPr="006B24A8" w:rsidRDefault="006B24A8" w:rsidP="008B0F95">
      <w:pPr>
        <w:spacing w:before="100" w:beforeAutospacing="1" w:after="100" w:afterAutospacing="1" w:line="240" w:lineRule="auto"/>
        <w:jc w:val="both"/>
        <w:rPr>
          <w:szCs w:val="24"/>
          <w:lang w:eastAsia="en-GB"/>
        </w:rPr>
      </w:pPr>
      <w:r w:rsidRPr="006B24A8">
        <w:rPr>
          <w:szCs w:val="24"/>
          <w:lang w:eastAsia="en-GB"/>
        </w:rPr>
        <w:t xml:space="preserve">Howe’s comment hinted at a ‘knowingness’ or subjugated knowledge that has informed the view about Casement from within the historical academy. But in Howe’s </w:t>
      </w:r>
      <w:r w:rsidRPr="006B24A8">
        <w:rPr>
          <w:i/>
          <w:iCs/>
          <w:szCs w:val="24"/>
          <w:lang w:eastAsia="en-GB"/>
        </w:rPr>
        <w:t>Ireland and empire</w:t>
      </w:r>
      <w:r w:rsidRPr="006B24A8">
        <w:rPr>
          <w:szCs w:val="24"/>
          <w:lang w:eastAsia="en-GB"/>
        </w:rPr>
        <w:t xml:space="preserve"> (2000) Casement received passing mention, despite a deepening recognition amongst post-colonial theorists of the latter’s damning critique of western imperialism. Tension and dissonance within élite academic circles was set to continue.</w:t>
      </w:r>
    </w:p>
    <w:p w:rsidR="0036123B" w:rsidRDefault="006B24A8" w:rsidP="008B0F95">
      <w:pPr>
        <w:spacing w:before="100" w:beforeAutospacing="1" w:after="100" w:afterAutospacing="1" w:line="240" w:lineRule="auto"/>
        <w:jc w:val="both"/>
        <w:rPr>
          <w:szCs w:val="24"/>
          <w:lang w:eastAsia="en-GB"/>
        </w:rPr>
      </w:pPr>
      <w:r w:rsidRPr="006B24A8">
        <w:rPr>
          <w:szCs w:val="24"/>
          <w:lang w:eastAsia="en-GB"/>
        </w:rPr>
        <w:t xml:space="preserve">Publication of </w:t>
      </w:r>
      <w:r w:rsidRPr="006B24A8">
        <w:rPr>
          <w:i/>
          <w:iCs/>
          <w:szCs w:val="24"/>
          <w:lang w:eastAsia="en-GB"/>
        </w:rPr>
        <w:t>The Amazon journal</w:t>
      </w:r>
      <w:r w:rsidRPr="006B24A8">
        <w:rPr>
          <w:szCs w:val="24"/>
          <w:lang w:eastAsia="en-GB"/>
        </w:rPr>
        <w:t xml:space="preserve"> in 1997 had drawn attention to the fact that there was much confusion over the relationship between ‘Black’ and ‘White’ diary narratives describing the same 75-day period during 1910 when Casement investigated the activities of a British-owned Peruvian rubber company. This opened up the controversy to another kind of scrutiny that was scholarly and textual and not politically constrained and luridly sexual. </w:t>
      </w:r>
      <w:r w:rsidRPr="006B24A8">
        <w:rPr>
          <w:i/>
          <w:iCs/>
          <w:szCs w:val="24"/>
          <w:lang w:eastAsia="en-GB"/>
        </w:rPr>
        <w:t>The Amazon journal</w:t>
      </w:r>
      <w:r w:rsidRPr="006B24A8">
        <w:rPr>
          <w:szCs w:val="24"/>
          <w:lang w:eastAsia="en-GB"/>
        </w:rPr>
        <w:t xml:space="preserve"> demonstrated how Casement was deconstructing the racist logic of empire. His incisive analysis exposed the gender-based violence supporting international venture capital. To a shocked metropolitan audience, he revealed the resource wars fought in the name of civilisation against peaceful, indigenous communities and their environments. The fact that the Black Diaries configured so precisely with his investigations into atrocities in the Congo Free State in 1903 and in the north-western Amazon in 1910 and 1911 was becoming their most revealing weakness.</w:t>
      </w:r>
    </w:p>
    <w:p w:rsidR="0036123B" w:rsidRDefault="0036123B" w:rsidP="008B0F95">
      <w:pPr>
        <w:spacing w:before="100" w:beforeAutospacing="1" w:after="100" w:afterAutospacing="1" w:line="240" w:lineRule="auto"/>
        <w:jc w:val="both"/>
        <w:rPr>
          <w:szCs w:val="24"/>
          <w:lang w:eastAsia="en-GB"/>
        </w:rPr>
      </w:pPr>
    </w:p>
    <w:p w:rsidR="0036123B" w:rsidRDefault="0036123B" w:rsidP="008B0F95">
      <w:pPr>
        <w:spacing w:before="100" w:beforeAutospacing="1" w:after="100" w:afterAutospacing="1" w:line="240" w:lineRule="auto"/>
        <w:jc w:val="both"/>
        <w:rPr>
          <w:szCs w:val="24"/>
          <w:lang w:eastAsia="en-GB"/>
        </w:rPr>
      </w:pPr>
    </w:p>
    <w:p w:rsidR="0024684B" w:rsidRPr="0036123B" w:rsidRDefault="006B24A8" w:rsidP="008B0F95">
      <w:pPr>
        <w:spacing w:before="100" w:beforeAutospacing="1" w:after="100" w:afterAutospacing="1" w:line="240" w:lineRule="auto"/>
        <w:jc w:val="both"/>
        <w:rPr>
          <w:szCs w:val="24"/>
          <w:lang w:eastAsia="en-GB"/>
        </w:rPr>
      </w:pPr>
      <w:proofErr w:type="gramStart"/>
      <w:r w:rsidRPr="006B24A8">
        <w:rPr>
          <w:b/>
          <w:bCs/>
          <w:szCs w:val="24"/>
          <w:lang w:eastAsia="en-GB"/>
        </w:rPr>
        <w:lastRenderedPageBreak/>
        <w:t>Proustian hero?</w:t>
      </w:r>
      <w:proofErr w:type="gramEnd"/>
    </w:p>
    <w:p w:rsidR="006B24A8" w:rsidRPr="006B24A8" w:rsidRDefault="006B24A8" w:rsidP="008B0F95">
      <w:pPr>
        <w:spacing w:before="100" w:beforeAutospacing="1" w:after="100" w:afterAutospacing="1" w:line="240" w:lineRule="auto"/>
        <w:jc w:val="both"/>
        <w:rPr>
          <w:b/>
          <w:bCs/>
          <w:szCs w:val="24"/>
          <w:lang w:eastAsia="en-GB"/>
        </w:rPr>
      </w:pPr>
      <w:r w:rsidRPr="006B24A8">
        <w:rPr>
          <w:szCs w:val="24"/>
          <w:lang w:eastAsia="en-GB"/>
        </w:rPr>
        <w:t>It is now evident that the Black Diaries have enabled their own form of epistemological violence, whereby Casement’s achievement as both a pioneer of human rights and a whistle-blower could be marginalised by playing the ‘paedophile’ trump. If the Black Diaries are to be placed centre stage to their biographical subject, then their author, even in today’s terms, was not engaging with ‘hospitable bodies’ but was using his position in deeply exploitative power games. Revisionist efforts to try and turn the sexualised Casement into a kind of Proustian hero, or a gay role model, do not stand up to rigorous scrutiny of the texts. Besides the homophobic world in which they were conjured, the diaries are deeply racist. By manipulating meaning, they demean the authority of the investigator. Casement’s cultural construct as an urbane and playful cosmopolitan queer has little to do with the encrypted distortions evident in the sexualised version of events.</w:t>
      </w:r>
    </w:p>
    <w:p w:rsidR="006B24A8" w:rsidRPr="006B24A8" w:rsidRDefault="006B24A8" w:rsidP="008B0F95">
      <w:pPr>
        <w:spacing w:before="100" w:beforeAutospacing="1" w:after="100" w:afterAutospacing="1" w:line="240" w:lineRule="auto"/>
        <w:jc w:val="both"/>
        <w:rPr>
          <w:szCs w:val="24"/>
          <w:lang w:eastAsia="en-GB"/>
        </w:rPr>
      </w:pPr>
      <w:r w:rsidRPr="006B24A8">
        <w:rPr>
          <w:szCs w:val="24"/>
          <w:lang w:eastAsia="en-GB"/>
        </w:rPr>
        <w:t>Like other revolutionary leaders involved in 1916, Casement was acutely aware of his place in history and the centrality of the written word to that place. As a British civil servant, he was aware, too, of the role of the archive in the production of history. I have long argued that his most subversive act was to leave on the official record an indelible indictment of colonial power: a denunciation that western historiography is still reluctant to acknowledge. Heading towards his own violent end on the scaffold—with the role of sexuality in the demise of both Parnell and Wilde still in living memory—is it really probable that he would have so conveniently left the ingredients for the subversion of his pioneering investigations? In any interrogation of the Black Diaries, questions to do with motive and probability weigh heavily on the side of forgery.</w:t>
      </w:r>
    </w:p>
    <w:p w:rsidR="006B24A8" w:rsidRPr="006B24A8" w:rsidRDefault="006B24A8" w:rsidP="008B0F95">
      <w:pPr>
        <w:spacing w:before="100" w:beforeAutospacing="1" w:after="100" w:afterAutospacing="1" w:line="240" w:lineRule="auto"/>
        <w:jc w:val="both"/>
        <w:rPr>
          <w:szCs w:val="24"/>
          <w:lang w:eastAsia="en-GB"/>
        </w:rPr>
      </w:pPr>
      <w:r w:rsidRPr="006B24A8">
        <w:rPr>
          <w:szCs w:val="24"/>
          <w:lang w:eastAsia="en-GB"/>
        </w:rPr>
        <w:t xml:space="preserve">At the state’s commemoration at Banna Strand on 21 April 2016, the British ambassador to Ireland, Dominick </w:t>
      </w:r>
      <w:proofErr w:type="spellStart"/>
      <w:r w:rsidRPr="006B24A8">
        <w:rPr>
          <w:szCs w:val="24"/>
          <w:lang w:eastAsia="en-GB"/>
        </w:rPr>
        <w:t>Chilcott</w:t>
      </w:r>
      <w:proofErr w:type="spellEnd"/>
      <w:r w:rsidRPr="006B24A8">
        <w:rPr>
          <w:szCs w:val="24"/>
          <w:lang w:eastAsia="en-GB"/>
        </w:rPr>
        <w:t xml:space="preserve">, when interviewed by Radio Kerry, claimed that Casement’s ‘memory was lost in the [British] national consciousness’. Part of the process for that disremembering has been accomplished through the presence of the Black Diaries. Another motive for the forgery was to cover up a huge crime against humanity: a destruction of communities and environment that stretches from the upper Congo to the north-west Amazon to the destitute fringes of Connemara. Millions of dead souls—souls without history—haunt the shadows of Casement’s tragedy. In his challenge to the imperial order, Casement blew the whistle on this catastrophe, and his engagement with revolutionary politics was a way by which he articulated his deepest sense of outrage against the system. </w:t>
      </w:r>
    </w:p>
    <w:p w:rsidR="0024684B" w:rsidRDefault="006B24A8" w:rsidP="008B0F95">
      <w:pPr>
        <w:spacing w:before="100" w:beforeAutospacing="1" w:after="100" w:afterAutospacing="1" w:line="240" w:lineRule="auto"/>
        <w:jc w:val="both"/>
        <w:rPr>
          <w:b/>
          <w:bCs/>
          <w:szCs w:val="24"/>
          <w:lang w:eastAsia="en-GB"/>
        </w:rPr>
      </w:pPr>
      <w:r w:rsidRPr="006B24A8">
        <w:rPr>
          <w:b/>
          <w:bCs/>
          <w:szCs w:val="24"/>
          <w:lang w:eastAsia="en-GB"/>
        </w:rPr>
        <w:t>‘Dangerous memories’</w:t>
      </w:r>
    </w:p>
    <w:p w:rsidR="006B24A8" w:rsidRPr="006B24A8" w:rsidRDefault="006B24A8" w:rsidP="008B0F95">
      <w:pPr>
        <w:spacing w:before="100" w:beforeAutospacing="1" w:after="100" w:afterAutospacing="1" w:line="240" w:lineRule="auto"/>
        <w:jc w:val="both"/>
        <w:rPr>
          <w:szCs w:val="24"/>
          <w:lang w:eastAsia="en-GB"/>
        </w:rPr>
      </w:pPr>
      <w:r w:rsidRPr="006B24A8">
        <w:rPr>
          <w:szCs w:val="24"/>
          <w:lang w:eastAsia="en-GB"/>
        </w:rPr>
        <w:t xml:space="preserve">Britain’s example of disremembering operates in direct opposition to what the theologian Johann Metz has described as the need to collectively connect with ‘dangerous memories’. Casement is one such memory. Engaging with his life and death demands that we critically confront the victims and suffering created by the complacent structures of western power. His life opens up challenging perspectives on history and remembrance and their continuing interaction. </w:t>
      </w:r>
    </w:p>
    <w:p w:rsidR="006B24A8" w:rsidRPr="006B24A8" w:rsidRDefault="006B24A8" w:rsidP="008B0F95">
      <w:pPr>
        <w:spacing w:before="100" w:beforeAutospacing="1" w:after="100" w:afterAutospacing="1" w:line="240" w:lineRule="auto"/>
        <w:jc w:val="both"/>
        <w:rPr>
          <w:szCs w:val="24"/>
          <w:lang w:eastAsia="en-GB"/>
        </w:rPr>
      </w:pPr>
      <w:r w:rsidRPr="006B24A8">
        <w:rPr>
          <w:szCs w:val="24"/>
          <w:lang w:eastAsia="en-GB"/>
        </w:rPr>
        <w:t>Surely if the Republic of Ireland is now ‘mature’ enough to welcome the British monarch into its midst, then the UK’s National Archive, without pageantry, can reattribute the Black Diaries. Thereby acts of interpretative violence can cease and Casement can be accepted as a rebel with a cause, whose memory should hold historic value and respect on both sides of the Irish Sea and beyond.</w:t>
      </w:r>
    </w:p>
    <w:p w:rsidR="006B24A8" w:rsidRPr="006B24A8" w:rsidRDefault="006B24A8" w:rsidP="008B0F95">
      <w:pPr>
        <w:spacing w:before="100" w:beforeAutospacing="1" w:after="100" w:afterAutospacing="1" w:line="240" w:lineRule="auto"/>
        <w:jc w:val="both"/>
        <w:rPr>
          <w:szCs w:val="24"/>
          <w:lang w:eastAsia="en-GB"/>
        </w:rPr>
      </w:pPr>
      <w:r w:rsidRPr="006B24A8">
        <w:rPr>
          <w:i/>
          <w:iCs/>
          <w:szCs w:val="24"/>
          <w:lang w:eastAsia="en-GB"/>
        </w:rPr>
        <w:t>Angus Mitchell</w:t>
      </w:r>
      <w:r w:rsidRPr="006B24A8">
        <w:rPr>
          <w:szCs w:val="24"/>
          <w:lang w:eastAsia="en-GB"/>
        </w:rPr>
        <w:t xml:space="preserve"> lectures in the Kemmy Business School at the University of Limerick.</w:t>
      </w:r>
    </w:p>
    <w:p w:rsidR="0036123B" w:rsidRDefault="0036123B" w:rsidP="0036123B">
      <w:pPr>
        <w:pStyle w:val="NoSpacing"/>
        <w:rPr>
          <w:lang w:eastAsia="en-GB"/>
        </w:rPr>
      </w:pPr>
      <w:r w:rsidRPr="006B24A8">
        <w:rPr>
          <w:lang w:eastAsia="en-GB"/>
        </w:rPr>
        <w:t xml:space="preserve">Published in </w:t>
      </w:r>
      <w:hyperlink r:id="rId17" w:history="1">
        <w:r w:rsidRPr="006B24A8">
          <w:rPr>
            <w:color w:val="0000FF"/>
            <w:u w:val="single"/>
            <w:lang w:eastAsia="en-GB"/>
          </w:rPr>
          <w:t>Features</w:t>
        </w:r>
      </w:hyperlink>
      <w:r w:rsidRPr="006B24A8">
        <w:rPr>
          <w:lang w:eastAsia="en-GB"/>
        </w:rPr>
        <w:t xml:space="preserve">, </w:t>
      </w:r>
      <w:hyperlink r:id="rId18" w:history="1">
        <w:r w:rsidRPr="006B24A8">
          <w:rPr>
            <w:color w:val="0000FF"/>
            <w:u w:val="single"/>
            <w:lang w:eastAsia="en-GB"/>
          </w:rPr>
          <w:t>Issue 4 (July/August 2016)</w:t>
        </w:r>
      </w:hyperlink>
      <w:r w:rsidRPr="006B24A8">
        <w:rPr>
          <w:lang w:eastAsia="en-GB"/>
        </w:rPr>
        <w:t xml:space="preserve">, </w:t>
      </w:r>
      <w:hyperlink r:id="rId19" w:history="1">
        <w:r w:rsidRPr="006B24A8">
          <w:rPr>
            <w:color w:val="0000FF"/>
            <w:u w:val="single"/>
            <w:lang w:eastAsia="en-GB"/>
          </w:rPr>
          <w:t>Volume 24</w:t>
        </w:r>
      </w:hyperlink>
      <w:r w:rsidRPr="006B24A8">
        <w:rPr>
          <w:lang w:eastAsia="en-GB"/>
        </w:rPr>
        <w:t xml:space="preserve"> </w:t>
      </w:r>
    </w:p>
    <w:p w:rsidR="00873B40" w:rsidRDefault="006B24A8" w:rsidP="00873B40">
      <w:pPr>
        <w:pStyle w:val="NoSpacing"/>
        <w:rPr>
          <w:lang w:eastAsia="en-GB"/>
        </w:rPr>
      </w:pPr>
      <w:r w:rsidRPr="006B24A8">
        <w:rPr>
          <w:lang w:eastAsia="en-GB"/>
        </w:rPr>
        <w:lastRenderedPageBreak/>
        <w:t>FURTHER READING</w:t>
      </w:r>
      <w:r w:rsidRPr="006B24A8">
        <w:rPr>
          <w:lang w:eastAsia="en-GB"/>
        </w:rPr>
        <w:br/>
        <w:t xml:space="preserve">R.F. Foster, ‘History and the Irish Question’, </w:t>
      </w:r>
      <w:r w:rsidRPr="006B24A8">
        <w:rPr>
          <w:i/>
          <w:iCs/>
          <w:lang w:eastAsia="en-GB"/>
        </w:rPr>
        <w:t>Transactions of the Royal Historical Society</w:t>
      </w:r>
      <w:r w:rsidRPr="006B24A8">
        <w:rPr>
          <w:lang w:eastAsia="en-GB"/>
        </w:rPr>
        <w:t xml:space="preserve"> </w:t>
      </w:r>
      <w:r w:rsidRPr="006B24A8">
        <w:rPr>
          <w:b/>
          <w:bCs/>
          <w:lang w:eastAsia="en-GB"/>
        </w:rPr>
        <w:t>33</w:t>
      </w:r>
      <w:r w:rsidRPr="006B24A8">
        <w:rPr>
          <w:lang w:eastAsia="en-GB"/>
        </w:rPr>
        <w:t xml:space="preserve"> (1983).</w:t>
      </w:r>
      <w:r w:rsidRPr="006B24A8">
        <w:rPr>
          <w:lang w:eastAsia="en-GB"/>
        </w:rPr>
        <w:br/>
        <w:t xml:space="preserve">P. Hoare, </w:t>
      </w:r>
      <w:r w:rsidRPr="006B24A8">
        <w:rPr>
          <w:i/>
          <w:iCs/>
          <w:lang w:eastAsia="en-GB"/>
        </w:rPr>
        <w:t>Wilde’s last stand: decadence and conspiracy and the First World War</w:t>
      </w:r>
      <w:r w:rsidRPr="006B24A8">
        <w:rPr>
          <w:lang w:eastAsia="en-GB"/>
        </w:rPr>
        <w:t xml:space="preserve"> (Duckworth, 1997).</w:t>
      </w:r>
    </w:p>
    <w:p w:rsidR="006B24A8" w:rsidRPr="006B24A8" w:rsidRDefault="006B24A8" w:rsidP="00873B40">
      <w:pPr>
        <w:pStyle w:val="NoSpacing"/>
        <w:rPr>
          <w:lang w:eastAsia="en-GB"/>
        </w:rPr>
      </w:pPr>
      <w:r w:rsidRPr="006B24A8">
        <w:rPr>
          <w:lang w:eastAsia="en-GB"/>
        </w:rPr>
        <w:br/>
        <w:t xml:space="preserve">A. Mitchell, ‘Phases of a dishonourable phantasy’, </w:t>
      </w:r>
      <w:r w:rsidRPr="006B24A8">
        <w:rPr>
          <w:i/>
          <w:iCs/>
          <w:lang w:eastAsia="en-GB"/>
        </w:rPr>
        <w:t>Field Day Review</w:t>
      </w:r>
      <w:r w:rsidRPr="006B24A8">
        <w:rPr>
          <w:lang w:eastAsia="en-GB"/>
        </w:rPr>
        <w:t xml:space="preserve"> </w:t>
      </w:r>
      <w:r w:rsidRPr="006B24A8">
        <w:rPr>
          <w:b/>
          <w:bCs/>
          <w:lang w:eastAsia="en-GB"/>
        </w:rPr>
        <w:t>8</w:t>
      </w:r>
      <w:r w:rsidRPr="006B24A8">
        <w:rPr>
          <w:lang w:eastAsia="en-GB"/>
        </w:rPr>
        <w:t xml:space="preserve"> (2012). </w:t>
      </w:r>
    </w:p>
    <w:p w:rsidR="00873B40" w:rsidRDefault="006B24A8" w:rsidP="00873B40">
      <w:pPr>
        <w:pStyle w:val="NoSpacing"/>
        <w:rPr>
          <w:i/>
          <w:iCs/>
          <w:lang w:eastAsia="en-GB"/>
        </w:rPr>
      </w:pPr>
      <w:r w:rsidRPr="006B24A8">
        <w:rPr>
          <w:i/>
          <w:iCs/>
          <w:lang w:eastAsia="en-GB"/>
        </w:rPr>
        <w:t xml:space="preserve">Angus Mitchell’s writings on Roger Casement can be accessed through his academia.edu site: </w:t>
      </w:r>
      <w:hyperlink r:id="rId20" w:history="1">
        <w:r w:rsidR="00873B40" w:rsidRPr="00D11763">
          <w:rPr>
            <w:rStyle w:val="Hyperlink"/>
            <w:i/>
            <w:iCs/>
            <w:szCs w:val="24"/>
            <w:lang w:eastAsia="en-GB"/>
          </w:rPr>
          <w:t>https://limerick.academia.edu/AngusMitchell</w:t>
        </w:r>
      </w:hyperlink>
      <w:r w:rsidRPr="006B24A8">
        <w:rPr>
          <w:i/>
          <w:iCs/>
          <w:lang w:eastAsia="en-GB"/>
        </w:rPr>
        <w:t>.</w:t>
      </w:r>
    </w:p>
    <w:p w:rsidR="0036123B" w:rsidRDefault="0036123B" w:rsidP="00873B40">
      <w:pPr>
        <w:pStyle w:val="NoSpacing"/>
        <w:rPr>
          <w:i/>
          <w:iCs/>
          <w:lang w:eastAsia="en-GB"/>
        </w:rPr>
      </w:pPr>
    </w:p>
    <w:p w:rsidR="00E93366" w:rsidRDefault="00E93366">
      <w:pPr>
        <w:rPr>
          <w:i/>
          <w:iCs/>
          <w:lang w:eastAsia="en-GB"/>
        </w:rPr>
      </w:pPr>
      <w:r>
        <w:rPr>
          <w:i/>
          <w:iCs/>
          <w:lang w:eastAsia="en-GB"/>
        </w:rPr>
        <w:br w:type="page"/>
      </w:r>
    </w:p>
    <w:p w:rsidR="0036123B" w:rsidRDefault="0036123B" w:rsidP="00873B40">
      <w:pPr>
        <w:pStyle w:val="NoSpacing"/>
        <w:rPr>
          <w:i/>
          <w:iCs/>
          <w:lang w:eastAsia="en-GB"/>
        </w:rPr>
      </w:pPr>
    </w:p>
    <w:p w:rsidR="00873B40" w:rsidRDefault="00873B40" w:rsidP="00873B40">
      <w:pPr>
        <w:pStyle w:val="NoSpacing"/>
        <w:rPr>
          <w:lang w:eastAsia="en-GB"/>
        </w:rPr>
      </w:pPr>
    </w:p>
    <w:p w:rsidR="00873B40" w:rsidRDefault="00873B40" w:rsidP="00873B40">
      <w:pPr>
        <w:spacing w:after="0" w:line="240" w:lineRule="auto"/>
        <w:jc w:val="both"/>
      </w:pPr>
      <w:r w:rsidRPr="00221F4A">
        <w:rPr>
          <w:noProof/>
          <w:szCs w:val="24"/>
          <w:lang w:eastAsia="en-GB"/>
        </w:rPr>
        <w:drawing>
          <wp:inline distT="0" distB="0" distL="0" distR="0" wp14:anchorId="3992C497" wp14:editId="4E8CB763">
            <wp:extent cx="5715000" cy="2781300"/>
            <wp:effectExtent l="0" t="0" r="0" b="0"/>
            <wp:docPr id="2" name="Picture 2" descr="Redmond-book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mond-bookwor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2781300"/>
                    </a:xfrm>
                    <a:prstGeom prst="rect">
                      <a:avLst/>
                    </a:prstGeom>
                    <a:noFill/>
                    <a:ln>
                      <a:noFill/>
                    </a:ln>
                  </pic:spPr>
                </pic:pic>
              </a:graphicData>
            </a:graphic>
          </wp:inline>
        </w:drawing>
      </w:r>
      <w:r w:rsidRPr="00E93366">
        <w:rPr>
          <w:b/>
        </w:rPr>
        <w:t xml:space="preserve">Jeffrey Dudgeon, </w:t>
      </w:r>
      <w:r w:rsidRPr="00E93366">
        <w:rPr>
          <w:rStyle w:val="Emphasis"/>
          <w:b/>
        </w:rPr>
        <w:t xml:space="preserve">Roger Casement: the black diaries—with a study of his background, sexuality, and political life </w:t>
      </w:r>
      <w:r w:rsidRPr="00E93366">
        <w:rPr>
          <w:b/>
        </w:rPr>
        <w:t xml:space="preserve">(2nd </w:t>
      </w:r>
      <w:proofErr w:type="spellStart"/>
      <w:r w:rsidRPr="00E93366">
        <w:rPr>
          <w:b/>
        </w:rPr>
        <w:t>edn</w:t>
      </w:r>
      <w:proofErr w:type="spellEnd"/>
      <w:r w:rsidRPr="00E93366">
        <w:rPr>
          <w:b/>
        </w:rPr>
        <w:t xml:space="preserve">) (Belfast Press, €26 </w:t>
      </w:r>
      <w:proofErr w:type="spellStart"/>
      <w:proofErr w:type="gramStart"/>
      <w:r w:rsidRPr="00E93366">
        <w:rPr>
          <w:b/>
        </w:rPr>
        <w:t>pb</w:t>
      </w:r>
      <w:proofErr w:type="spellEnd"/>
      <w:proofErr w:type="gramEnd"/>
      <w:r w:rsidRPr="00E93366">
        <w:rPr>
          <w:b/>
        </w:rPr>
        <w:t>, 728pp, ISBN 9780953928736).</w:t>
      </w:r>
      <w:r>
        <w:t xml:space="preserve"> </w:t>
      </w:r>
    </w:p>
    <w:p w:rsidR="00873B40" w:rsidRDefault="00873B40" w:rsidP="00873B40">
      <w:pPr>
        <w:spacing w:after="0" w:line="240" w:lineRule="auto"/>
        <w:jc w:val="both"/>
      </w:pPr>
    </w:p>
    <w:p w:rsidR="00873B40" w:rsidRDefault="00873B40" w:rsidP="00873B40">
      <w:pPr>
        <w:spacing w:after="0" w:line="240" w:lineRule="auto"/>
        <w:jc w:val="both"/>
      </w:pPr>
      <w:r>
        <w:t xml:space="preserve">This issue contains articles by Paul Hyde and Angus Mitchell questioning the authenticity of the Black Diaries of Roger Casement. Jeffrey Dudgeon’s </w:t>
      </w:r>
      <w:r>
        <w:rPr>
          <w:rStyle w:val="Emphasis"/>
        </w:rPr>
        <w:t>Roger Casement</w:t>
      </w:r>
      <w:proofErr w:type="gramStart"/>
      <w:r>
        <w:rPr>
          <w:rStyle w:val="Emphasis"/>
        </w:rPr>
        <w:t>: the black diaries—with a study of his background, sexuality, and political life</w:t>
      </w:r>
      <w:r>
        <w:t>, published by Belfast Press, takes</w:t>
      </w:r>
      <w:proofErr w:type="gramEnd"/>
      <w:r>
        <w:t xml:space="preserve"> a different view. First published in 2002, this new edition includes extended versions of the 1903, 1910 and 1911 diaries, addresses the 1881 Scribbling Diary and solves the mystery of the missing US money in 1916. Much of the focus of Dudgeon’s new research has been on Casement’s time in Berlin, as well as on his companions of the time and the role of British intelligence in 1916.</w:t>
      </w:r>
    </w:p>
    <w:p w:rsidR="00873B40" w:rsidRPr="009805D0" w:rsidRDefault="00873B40" w:rsidP="009805D0">
      <w:pPr>
        <w:spacing w:before="100" w:beforeAutospacing="1" w:after="100" w:afterAutospacing="1" w:line="240" w:lineRule="auto"/>
        <w:jc w:val="both"/>
        <w:rPr>
          <w:szCs w:val="24"/>
          <w:lang w:eastAsia="en-GB"/>
        </w:rPr>
      </w:pPr>
    </w:p>
    <w:sectPr w:rsidR="00873B40" w:rsidRPr="009805D0"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F8"/>
    <w:rsid w:val="00000477"/>
    <w:rsid w:val="00037E46"/>
    <w:rsid w:val="00054600"/>
    <w:rsid w:val="000A6496"/>
    <w:rsid w:val="000B589F"/>
    <w:rsid w:val="001669ED"/>
    <w:rsid w:val="001C4F2D"/>
    <w:rsid w:val="00216CDA"/>
    <w:rsid w:val="0022113B"/>
    <w:rsid w:val="00221F4A"/>
    <w:rsid w:val="002302D4"/>
    <w:rsid w:val="00230E98"/>
    <w:rsid w:val="0024684B"/>
    <w:rsid w:val="002E0FC1"/>
    <w:rsid w:val="002F424B"/>
    <w:rsid w:val="00306495"/>
    <w:rsid w:val="003074FE"/>
    <w:rsid w:val="0036123B"/>
    <w:rsid w:val="00365E0B"/>
    <w:rsid w:val="00377A75"/>
    <w:rsid w:val="00410604"/>
    <w:rsid w:val="00427013"/>
    <w:rsid w:val="00475073"/>
    <w:rsid w:val="00492B51"/>
    <w:rsid w:val="0054590A"/>
    <w:rsid w:val="00551C64"/>
    <w:rsid w:val="00591367"/>
    <w:rsid w:val="006171C2"/>
    <w:rsid w:val="00662316"/>
    <w:rsid w:val="00684BFE"/>
    <w:rsid w:val="006B24A8"/>
    <w:rsid w:val="00742B90"/>
    <w:rsid w:val="00757ABE"/>
    <w:rsid w:val="0078721D"/>
    <w:rsid w:val="007A4669"/>
    <w:rsid w:val="00873B40"/>
    <w:rsid w:val="008B0F95"/>
    <w:rsid w:val="008B19C0"/>
    <w:rsid w:val="008C43D8"/>
    <w:rsid w:val="008E482C"/>
    <w:rsid w:val="008F245B"/>
    <w:rsid w:val="00921CFA"/>
    <w:rsid w:val="00930BD8"/>
    <w:rsid w:val="00954A92"/>
    <w:rsid w:val="009805D0"/>
    <w:rsid w:val="009B0E6E"/>
    <w:rsid w:val="00B230FB"/>
    <w:rsid w:val="00B512F6"/>
    <w:rsid w:val="00BE1BA4"/>
    <w:rsid w:val="00C10672"/>
    <w:rsid w:val="00C729AB"/>
    <w:rsid w:val="00CD53A2"/>
    <w:rsid w:val="00CE3E84"/>
    <w:rsid w:val="00D10CF8"/>
    <w:rsid w:val="00D83D08"/>
    <w:rsid w:val="00DA074F"/>
    <w:rsid w:val="00E003A2"/>
    <w:rsid w:val="00E04A00"/>
    <w:rsid w:val="00E26F19"/>
    <w:rsid w:val="00E93366"/>
    <w:rsid w:val="00EB5E42"/>
    <w:rsid w:val="00EC13E8"/>
    <w:rsid w:val="00F20F2F"/>
    <w:rsid w:val="00F72206"/>
    <w:rsid w:val="00F72D31"/>
    <w:rsid w:val="00FC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31"/>
    <w:rPr>
      <w:rFonts w:ascii="Tahoma" w:hAnsi="Tahoma" w:cs="Tahoma"/>
      <w:sz w:val="16"/>
      <w:szCs w:val="16"/>
    </w:rPr>
  </w:style>
  <w:style w:type="character" w:styleId="Hyperlink">
    <w:name w:val="Hyperlink"/>
    <w:basedOn w:val="DefaultParagraphFont"/>
    <w:uiPriority w:val="99"/>
    <w:unhideWhenUsed/>
    <w:rsid w:val="00F72D31"/>
    <w:rPr>
      <w:color w:val="0000FF" w:themeColor="hyperlink"/>
      <w:u w:val="single"/>
    </w:rPr>
  </w:style>
  <w:style w:type="paragraph" w:styleId="NoSpacing">
    <w:name w:val="No Spacing"/>
    <w:uiPriority w:val="1"/>
    <w:qFormat/>
    <w:rsid w:val="00EB5E42"/>
    <w:pPr>
      <w:spacing w:after="0" w:line="240" w:lineRule="auto"/>
    </w:pPr>
  </w:style>
  <w:style w:type="character" w:styleId="FollowedHyperlink">
    <w:name w:val="FollowedHyperlink"/>
    <w:basedOn w:val="DefaultParagraphFont"/>
    <w:uiPriority w:val="99"/>
    <w:semiHidden/>
    <w:unhideWhenUsed/>
    <w:rsid w:val="001669ED"/>
    <w:rPr>
      <w:color w:val="800080" w:themeColor="followedHyperlink"/>
      <w:u w:val="single"/>
    </w:rPr>
  </w:style>
  <w:style w:type="character" w:customStyle="1" w:styleId="st">
    <w:name w:val="st"/>
    <w:basedOn w:val="DefaultParagraphFont"/>
    <w:rsid w:val="00E003A2"/>
  </w:style>
  <w:style w:type="character" w:styleId="Emphasis">
    <w:name w:val="Emphasis"/>
    <w:basedOn w:val="DefaultParagraphFont"/>
    <w:uiPriority w:val="20"/>
    <w:qFormat/>
    <w:rsid w:val="00221F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31"/>
    <w:rPr>
      <w:rFonts w:ascii="Tahoma" w:hAnsi="Tahoma" w:cs="Tahoma"/>
      <w:sz w:val="16"/>
      <w:szCs w:val="16"/>
    </w:rPr>
  </w:style>
  <w:style w:type="character" w:styleId="Hyperlink">
    <w:name w:val="Hyperlink"/>
    <w:basedOn w:val="DefaultParagraphFont"/>
    <w:uiPriority w:val="99"/>
    <w:unhideWhenUsed/>
    <w:rsid w:val="00F72D31"/>
    <w:rPr>
      <w:color w:val="0000FF" w:themeColor="hyperlink"/>
      <w:u w:val="single"/>
    </w:rPr>
  </w:style>
  <w:style w:type="paragraph" w:styleId="NoSpacing">
    <w:name w:val="No Spacing"/>
    <w:uiPriority w:val="1"/>
    <w:qFormat/>
    <w:rsid w:val="00EB5E42"/>
    <w:pPr>
      <w:spacing w:after="0" w:line="240" w:lineRule="auto"/>
    </w:pPr>
  </w:style>
  <w:style w:type="character" w:styleId="FollowedHyperlink">
    <w:name w:val="FollowedHyperlink"/>
    <w:basedOn w:val="DefaultParagraphFont"/>
    <w:uiPriority w:val="99"/>
    <w:semiHidden/>
    <w:unhideWhenUsed/>
    <w:rsid w:val="001669ED"/>
    <w:rPr>
      <w:color w:val="800080" w:themeColor="followedHyperlink"/>
      <w:u w:val="single"/>
    </w:rPr>
  </w:style>
  <w:style w:type="character" w:customStyle="1" w:styleId="st">
    <w:name w:val="st"/>
    <w:basedOn w:val="DefaultParagraphFont"/>
    <w:rsid w:val="00E003A2"/>
  </w:style>
  <w:style w:type="character" w:styleId="Emphasis">
    <w:name w:val="Emphasis"/>
    <w:basedOn w:val="DefaultParagraphFont"/>
    <w:uiPriority w:val="20"/>
    <w:qFormat/>
    <w:rsid w:val="00221F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6289">
      <w:bodyDiv w:val="1"/>
      <w:marLeft w:val="0"/>
      <w:marRight w:val="0"/>
      <w:marTop w:val="0"/>
      <w:marBottom w:val="0"/>
      <w:divBdr>
        <w:top w:val="none" w:sz="0" w:space="0" w:color="auto"/>
        <w:left w:val="none" w:sz="0" w:space="0" w:color="auto"/>
        <w:bottom w:val="none" w:sz="0" w:space="0" w:color="auto"/>
        <w:right w:val="none" w:sz="0" w:space="0" w:color="auto"/>
      </w:divBdr>
      <w:divsChild>
        <w:div w:id="1462650665">
          <w:marLeft w:val="0"/>
          <w:marRight w:val="0"/>
          <w:marTop w:val="0"/>
          <w:marBottom w:val="0"/>
          <w:divBdr>
            <w:top w:val="none" w:sz="0" w:space="0" w:color="auto"/>
            <w:left w:val="none" w:sz="0" w:space="0" w:color="auto"/>
            <w:bottom w:val="none" w:sz="0" w:space="0" w:color="auto"/>
            <w:right w:val="none" w:sz="0" w:space="0" w:color="auto"/>
          </w:divBdr>
        </w:div>
        <w:div w:id="354500841">
          <w:marLeft w:val="0"/>
          <w:marRight w:val="0"/>
          <w:marTop w:val="0"/>
          <w:marBottom w:val="0"/>
          <w:divBdr>
            <w:top w:val="none" w:sz="0" w:space="0" w:color="auto"/>
            <w:left w:val="none" w:sz="0" w:space="0" w:color="auto"/>
            <w:bottom w:val="none" w:sz="0" w:space="0" w:color="auto"/>
            <w:right w:val="none" w:sz="0" w:space="0" w:color="auto"/>
          </w:divBdr>
        </w:div>
        <w:div w:id="988510738">
          <w:marLeft w:val="0"/>
          <w:marRight w:val="0"/>
          <w:marTop w:val="0"/>
          <w:marBottom w:val="0"/>
          <w:divBdr>
            <w:top w:val="none" w:sz="0" w:space="0" w:color="auto"/>
            <w:left w:val="none" w:sz="0" w:space="0" w:color="auto"/>
            <w:bottom w:val="none" w:sz="0" w:space="0" w:color="auto"/>
            <w:right w:val="none" w:sz="0" w:space="0" w:color="auto"/>
          </w:divBdr>
        </w:div>
        <w:div w:id="552500226">
          <w:marLeft w:val="0"/>
          <w:marRight w:val="0"/>
          <w:marTop w:val="0"/>
          <w:marBottom w:val="0"/>
          <w:divBdr>
            <w:top w:val="none" w:sz="0" w:space="0" w:color="auto"/>
            <w:left w:val="none" w:sz="0" w:space="0" w:color="auto"/>
            <w:bottom w:val="none" w:sz="0" w:space="0" w:color="auto"/>
            <w:right w:val="none" w:sz="0" w:space="0" w:color="auto"/>
          </w:divBdr>
        </w:div>
      </w:divsChild>
    </w:div>
    <w:div w:id="647593845">
      <w:bodyDiv w:val="1"/>
      <w:marLeft w:val="0"/>
      <w:marRight w:val="0"/>
      <w:marTop w:val="0"/>
      <w:marBottom w:val="0"/>
      <w:divBdr>
        <w:top w:val="none" w:sz="0" w:space="0" w:color="auto"/>
        <w:left w:val="none" w:sz="0" w:space="0" w:color="auto"/>
        <w:bottom w:val="none" w:sz="0" w:space="0" w:color="auto"/>
        <w:right w:val="none" w:sz="0" w:space="0" w:color="auto"/>
      </w:divBdr>
      <w:divsChild>
        <w:div w:id="1715276365">
          <w:marLeft w:val="0"/>
          <w:marRight w:val="0"/>
          <w:marTop w:val="0"/>
          <w:marBottom w:val="0"/>
          <w:divBdr>
            <w:top w:val="none" w:sz="0" w:space="0" w:color="auto"/>
            <w:left w:val="none" w:sz="0" w:space="0" w:color="auto"/>
            <w:bottom w:val="none" w:sz="0" w:space="0" w:color="auto"/>
            <w:right w:val="none" w:sz="0" w:space="0" w:color="auto"/>
          </w:divBdr>
        </w:div>
        <w:div w:id="916860128">
          <w:marLeft w:val="0"/>
          <w:marRight w:val="0"/>
          <w:marTop w:val="0"/>
          <w:marBottom w:val="0"/>
          <w:divBdr>
            <w:top w:val="none" w:sz="0" w:space="0" w:color="auto"/>
            <w:left w:val="none" w:sz="0" w:space="0" w:color="auto"/>
            <w:bottom w:val="none" w:sz="0" w:space="0" w:color="auto"/>
            <w:right w:val="none" w:sz="0" w:space="0" w:color="auto"/>
          </w:divBdr>
        </w:div>
        <w:div w:id="505754593">
          <w:marLeft w:val="0"/>
          <w:marRight w:val="0"/>
          <w:marTop w:val="0"/>
          <w:marBottom w:val="0"/>
          <w:divBdr>
            <w:top w:val="none" w:sz="0" w:space="0" w:color="auto"/>
            <w:left w:val="none" w:sz="0" w:space="0" w:color="auto"/>
            <w:bottom w:val="none" w:sz="0" w:space="0" w:color="auto"/>
            <w:right w:val="none" w:sz="0" w:space="0" w:color="auto"/>
          </w:divBdr>
        </w:div>
        <w:div w:id="1529248796">
          <w:marLeft w:val="0"/>
          <w:marRight w:val="0"/>
          <w:marTop w:val="0"/>
          <w:marBottom w:val="0"/>
          <w:divBdr>
            <w:top w:val="none" w:sz="0" w:space="0" w:color="auto"/>
            <w:left w:val="none" w:sz="0" w:space="0" w:color="auto"/>
            <w:bottom w:val="none" w:sz="0" w:space="0" w:color="auto"/>
            <w:right w:val="none" w:sz="0" w:space="0" w:color="auto"/>
          </w:divBdr>
        </w:div>
        <w:div w:id="1908952908">
          <w:marLeft w:val="0"/>
          <w:marRight w:val="0"/>
          <w:marTop w:val="0"/>
          <w:marBottom w:val="0"/>
          <w:divBdr>
            <w:top w:val="none" w:sz="0" w:space="0" w:color="auto"/>
            <w:left w:val="none" w:sz="0" w:space="0" w:color="auto"/>
            <w:bottom w:val="none" w:sz="0" w:space="0" w:color="auto"/>
            <w:right w:val="none" w:sz="0" w:space="0" w:color="auto"/>
          </w:divBdr>
        </w:div>
        <w:div w:id="871260718">
          <w:marLeft w:val="0"/>
          <w:marRight w:val="0"/>
          <w:marTop w:val="0"/>
          <w:marBottom w:val="0"/>
          <w:divBdr>
            <w:top w:val="none" w:sz="0" w:space="0" w:color="auto"/>
            <w:left w:val="none" w:sz="0" w:space="0" w:color="auto"/>
            <w:bottom w:val="none" w:sz="0" w:space="0" w:color="auto"/>
            <w:right w:val="none" w:sz="0" w:space="0" w:color="auto"/>
          </w:divBdr>
        </w:div>
      </w:divsChild>
    </w:div>
    <w:div w:id="2054423149">
      <w:bodyDiv w:val="1"/>
      <w:marLeft w:val="0"/>
      <w:marRight w:val="0"/>
      <w:marTop w:val="0"/>
      <w:marBottom w:val="0"/>
      <w:divBdr>
        <w:top w:val="none" w:sz="0" w:space="0" w:color="auto"/>
        <w:left w:val="none" w:sz="0" w:space="0" w:color="auto"/>
        <w:bottom w:val="none" w:sz="0" w:space="0" w:color="auto"/>
        <w:right w:val="none" w:sz="0" w:space="0" w:color="auto"/>
      </w:divBdr>
      <w:divsChild>
        <w:div w:id="1968120270">
          <w:marLeft w:val="0"/>
          <w:marRight w:val="0"/>
          <w:marTop w:val="0"/>
          <w:marBottom w:val="0"/>
          <w:divBdr>
            <w:top w:val="none" w:sz="0" w:space="0" w:color="auto"/>
            <w:left w:val="none" w:sz="0" w:space="0" w:color="auto"/>
            <w:bottom w:val="none" w:sz="0" w:space="0" w:color="auto"/>
            <w:right w:val="none" w:sz="0" w:space="0" w:color="auto"/>
          </w:divBdr>
        </w:div>
        <w:div w:id="185187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ireland.com/category/volume-24/issue-4-julyaugust-2016/" TargetMode="External"/><Relationship Id="rId13" Type="http://schemas.openxmlformats.org/officeDocument/2006/relationships/image" Target="media/image5.jpeg"/><Relationship Id="rId18" Type="http://schemas.openxmlformats.org/officeDocument/2006/relationships/hyperlink" Target="http://www.historyireland.com/category/volume-24/issue-4-julyaugust-2016/"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historyireland.com/category/volume-24/issue-4-julyaugust-2016/features-issue-4-julyaugust-2016/" TargetMode="External"/><Relationship Id="rId12" Type="http://schemas.openxmlformats.org/officeDocument/2006/relationships/image" Target="media/image4.jpeg"/><Relationship Id="rId17" Type="http://schemas.openxmlformats.org/officeDocument/2006/relationships/hyperlink" Target="http://www.historyireland.com/category/volume-24/issue-4-julyaugust-2016/features-issue-4-julyaugust-2016/" TargetMode="Externa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hyperlink" Target="https://limerick.academia.edu/AngusMitchel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historyireland.com/volume-24/reputations-roger-casement-history-question/" TargetMode="Externa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historyireland.com/category/volume-24/" TargetMode="External"/><Relationship Id="rId4" Type="http://schemas.openxmlformats.org/officeDocument/2006/relationships/webSettings" Target="webSettings.xml"/><Relationship Id="rId9" Type="http://schemas.openxmlformats.org/officeDocument/2006/relationships/hyperlink" Target="http://www.historyireland.com/category/volume-24/" TargetMode="External"/><Relationship Id="rId14" Type="http://schemas.openxmlformats.org/officeDocument/2006/relationships/hyperlink" Target="https://breac.nd.edu/articles/65746-lost-to-history-an-assessment-and-review-of-the-casement-black-diar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4473</Words>
  <Characters>25498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Dudgeon</cp:lastModifiedBy>
  <cp:revision>13</cp:revision>
  <cp:lastPrinted>2016-03-16T11:29:00Z</cp:lastPrinted>
  <dcterms:created xsi:type="dcterms:W3CDTF">2016-07-04T11:58:00Z</dcterms:created>
  <dcterms:modified xsi:type="dcterms:W3CDTF">2016-12-28T13:42:00Z</dcterms:modified>
</cp:coreProperties>
</file>