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34" w:rsidRPr="00EF1AA1" w:rsidRDefault="00DE65B2">
      <w:pPr>
        <w:rPr>
          <w:rFonts w:ascii="Verdana" w:hAnsi="Verdana"/>
          <w:b/>
          <w:sz w:val="36"/>
          <w:szCs w:val="36"/>
        </w:rPr>
      </w:pPr>
      <w:r w:rsidRPr="00EF1AA1">
        <w:rPr>
          <w:rFonts w:ascii="Verdana" w:hAnsi="Verdana"/>
          <w:noProof/>
          <w:sz w:val="36"/>
          <w:szCs w:val="36"/>
        </w:rPr>
        <w:t xml:space="preserve">                                   </w:t>
      </w:r>
      <w:r w:rsidRPr="00EF1AA1">
        <w:rPr>
          <w:rFonts w:ascii="Verdana" w:hAnsi="Verdana"/>
          <w:noProof/>
          <w:sz w:val="36"/>
          <w:szCs w:val="36"/>
        </w:rPr>
        <w:drawing>
          <wp:inline distT="0" distB="0" distL="0" distR="0" wp14:anchorId="4216FABB" wp14:editId="069DC123">
            <wp:extent cx="922655" cy="1316990"/>
            <wp:effectExtent l="0" t="0" r="0" b="0"/>
            <wp:docPr id="1" name="Picture 1" descr="nihr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c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655" cy="1316990"/>
                    </a:xfrm>
                    <a:prstGeom prst="rect">
                      <a:avLst/>
                    </a:prstGeom>
                    <a:noFill/>
                    <a:ln>
                      <a:noFill/>
                    </a:ln>
                  </pic:spPr>
                </pic:pic>
              </a:graphicData>
            </a:graphic>
          </wp:inline>
        </w:drawing>
      </w:r>
    </w:p>
    <w:p w:rsidR="007535AF" w:rsidRPr="00EF1AA1" w:rsidRDefault="007535AF">
      <w:pPr>
        <w:rPr>
          <w:rFonts w:ascii="Verdana" w:hAnsi="Verdana"/>
          <w:b/>
          <w:sz w:val="36"/>
          <w:szCs w:val="36"/>
        </w:rPr>
      </w:pPr>
    </w:p>
    <w:p w:rsidR="007535AF" w:rsidRPr="00EF1AA1" w:rsidRDefault="007535AF" w:rsidP="007535AF">
      <w:pPr>
        <w:jc w:val="center"/>
        <w:rPr>
          <w:rFonts w:ascii="Verdana" w:hAnsi="Verdana"/>
          <w:b/>
          <w:sz w:val="36"/>
          <w:szCs w:val="36"/>
        </w:rPr>
      </w:pPr>
      <w:r w:rsidRPr="00EF1AA1">
        <w:rPr>
          <w:rFonts w:ascii="Verdana" w:hAnsi="Verdana"/>
          <w:b/>
          <w:sz w:val="36"/>
          <w:szCs w:val="36"/>
        </w:rPr>
        <w:t>Statutory Advice to the Committee for Health, Social Services and Public Safety on the Issue of deferral of blood donation for men who have sex with men (MSM)</w:t>
      </w:r>
    </w:p>
    <w:p w:rsidR="007535AF" w:rsidRPr="00EF1AA1" w:rsidRDefault="007535AF">
      <w:pPr>
        <w:rPr>
          <w:rFonts w:ascii="Verdana" w:hAnsi="Verdana"/>
          <w:b/>
          <w:sz w:val="36"/>
          <w:szCs w:val="36"/>
        </w:rPr>
      </w:pPr>
    </w:p>
    <w:p w:rsidR="007535AF" w:rsidRPr="00EF1AA1" w:rsidRDefault="007535AF">
      <w:pPr>
        <w:rPr>
          <w:rFonts w:ascii="Verdana" w:hAnsi="Verdana"/>
          <w:b/>
          <w:sz w:val="36"/>
          <w:szCs w:val="36"/>
        </w:rPr>
      </w:pPr>
    </w:p>
    <w:p w:rsidR="009D6F2E" w:rsidRPr="00EF1AA1" w:rsidRDefault="007535AF">
      <w:pPr>
        <w:rPr>
          <w:rFonts w:ascii="Verdana" w:hAnsi="Verdana"/>
          <w:b/>
          <w:sz w:val="36"/>
          <w:szCs w:val="36"/>
        </w:rPr>
      </w:pPr>
      <w:r w:rsidRPr="00EF1AA1">
        <w:rPr>
          <w:rFonts w:ascii="Verdana" w:hAnsi="Verdana"/>
          <w:b/>
          <w:sz w:val="36"/>
          <w:szCs w:val="36"/>
        </w:rPr>
        <w:t>Introduction</w:t>
      </w:r>
    </w:p>
    <w:p w:rsidR="008E0D38" w:rsidRPr="00EF1AA1" w:rsidRDefault="008E0D38">
      <w:pPr>
        <w:rPr>
          <w:rFonts w:ascii="Verdana" w:hAnsi="Verdana"/>
          <w:sz w:val="36"/>
          <w:szCs w:val="36"/>
        </w:rPr>
      </w:pPr>
    </w:p>
    <w:p w:rsidR="009D6F2E" w:rsidRPr="00EF1AA1" w:rsidRDefault="009D6F2E" w:rsidP="009D6F2E">
      <w:pPr>
        <w:autoSpaceDE w:val="0"/>
        <w:autoSpaceDN w:val="0"/>
        <w:adjustRightInd w:val="0"/>
        <w:jc w:val="both"/>
        <w:rPr>
          <w:rFonts w:ascii="Verdana" w:hAnsi="Verdana" w:cs="Verdana"/>
          <w:sz w:val="36"/>
          <w:szCs w:val="36"/>
        </w:rPr>
      </w:pPr>
      <w:r w:rsidRPr="00EF1AA1">
        <w:rPr>
          <w:rFonts w:ascii="Verdana" w:hAnsi="Verdana" w:cs="Verdana"/>
          <w:sz w:val="36"/>
          <w:szCs w:val="36"/>
        </w:rPr>
        <w:t>The Northern Ireland Human Rights Commission (‘the Commission’) is the National Human Rights Institution (‘NHRI’) for Northern Ireland. It was created in 1999 under the Northern Ireland Act 1998, pursuant to the Belfast (Good Friday) Agreement of 1998.</w:t>
      </w:r>
      <w:r w:rsidRPr="00EF1AA1">
        <w:rPr>
          <w:rStyle w:val="FootnoteReference"/>
          <w:rFonts w:ascii="Verdana" w:hAnsi="Verdana" w:cs="Verdana"/>
          <w:sz w:val="36"/>
          <w:szCs w:val="36"/>
        </w:rPr>
        <w:footnoteReference w:id="1"/>
      </w:r>
      <w:r w:rsidRPr="00EF1AA1">
        <w:rPr>
          <w:rFonts w:ascii="Verdana" w:hAnsi="Verdana" w:cs="Verdana"/>
          <w:sz w:val="36"/>
          <w:szCs w:val="36"/>
        </w:rPr>
        <w:t xml:space="preserve"> The Commission is accredited with ‘A’ status by the United Nations International Co-ordinating Committee of NHRIs.</w:t>
      </w:r>
    </w:p>
    <w:p w:rsidR="009D6F2E" w:rsidRPr="00EF1AA1" w:rsidRDefault="009D6F2E">
      <w:pPr>
        <w:rPr>
          <w:rFonts w:ascii="Verdana" w:hAnsi="Verdana"/>
          <w:sz w:val="36"/>
          <w:szCs w:val="36"/>
        </w:rPr>
      </w:pPr>
    </w:p>
    <w:p w:rsidR="009D6F2E" w:rsidRPr="00EF1AA1" w:rsidRDefault="009D6F2E" w:rsidP="009D6F2E">
      <w:pPr>
        <w:jc w:val="both"/>
        <w:rPr>
          <w:rFonts w:ascii="Verdana" w:hAnsi="Verdana"/>
          <w:sz w:val="36"/>
          <w:szCs w:val="36"/>
        </w:rPr>
      </w:pPr>
      <w:r w:rsidRPr="00EF1AA1">
        <w:rPr>
          <w:rFonts w:ascii="Verdana" w:hAnsi="Verdana"/>
          <w:sz w:val="36"/>
          <w:szCs w:val="36"/>
        </w:rPr>
        <w:t xml:space="preserve">The Commission is required, pursuant to Section 69 (3) of the Northern Ireland Act 1998, to </w:t>
      </w:r>
      <w:proofErr w:type="gramStart"/>
      <w:r w:rsidRPr="00EF1AA1">
        <w:rPr>
          <w:rFonts w:ascii="Verdana" w:hAnsi="Verdana"/>
          <w:sz w:val="36"/>
          <w:szCs w:val="36"/>
        </w:rPr>
        <w:t>advise</w:t>
      </w:r>
      <w:proofErr w:type="gramEnd"/>
      <w:r w:rsidRPr="00EF1AA1">
        <w:rPr>
          <w:rFonts w:ascii="Verdana" w:hAnsi="Verdana"/>
          <w:sz w:val="36"/>
          <w:szCs w:val="36"/>
        </w:rPr>
        <w:t xml:space="preserve"> on legislative and other measures that ou</w:t>
      </w:r>
      <w:r w:rsidR="007535AF" w:rsidRPr="00EF1AA1">
        <w:rPr>
          <w:rFonts w:ascii="Verdana" w:hAnsi="Verdana"/>
          <w:sz w:val="36"/>
          <w:szCs w:val="36"/>
        </w:rPr>
        <w:t>gh</w:t>
      </w:r>
      <w:r w:rsidRPr="00EF1AA1">
        <w:rPr>
          <w:rFonts w:ascii="Verdana" w:hAnsi="Verdana"/>
          <w:sz w:val="36"/>
          <w:szCs w:val="36"/>
        </w:rPr>
        <w:t xml:space="preserve">t to be taken to protect </w:t>
      </w:r>
      <w:r w:rsidRPr="00EF1AA1">
        <w:rPr>
          <w:rFonts w:ascii="Verdana" w:hAnsi="Verdana"/>
          <w:sz w:val="36"/>
          <w:szCs w:val="36"/>
        </w:rPr>
        <w:lastRenderedPageBreak/>
        <w:t>human rights. In accordance with this function the following statutory advice is submitted to the Committee for Health, Social Services and Public Safety on the issue of the deferral of blood donation for men who ha</w:t>
      </w:r>
      <w:r w:rsidR="007535AF" w:rsidRPr="00EF1AA1">
        <w:rPr>
          <w:rFonts w:ascii="Verdana" w:hAnsi="Verdana"/>
          <w:sz w:val="36"/>
          <w:szCs w:val="36"/>
        </w:rPr>
        <w:t>ve</w:t>
      </w:r>
      <w:r w:rsidRPr="00EF1AA1">
        <w:rPr>
          <w:rFonts w:ascii="Verdana" w:hAnsi="Verdana"/>
          <w:sz w:val="36"/>
          <w:szCs w:val="36"/>
        </w:rPr>
        <w:t xml:space="preserve"> sex with men (MSM).</w:t>
      </w:r>
    </w:p>
    <w:p w:rsidR="009D6F2E" w:rsidRPr="00EF1AA1" w:rsidRDefault="009D6F2E" w:rsidP="009D6F2E">
      <w:pPr>
        <w:jc w:val="both"/>
        <w:rPr>
          <w:rFonts w:ascii="Verdana" w:hAnsi="Verdana"/>
          <w:sz w:val="36"/>
          <w:szCs w:val="36"/>
        </w:rPr>
      </w:pPr>
    </w:p>
    <w:p w:rsidR="009D6F2E" w:rsidRPr="00EF1AA1" w:rsidRDefault="009D6F2E" w:rsidP="009D6F2E">
      <w:pPr>
        <w:jc w:val="both"/>
        <w:rPr>
          <w:rFonts w:ascii="Verdana" w:hAnsi="Verdana"/>
          <w:sz w:val="36"/>
          <w:szCs w:val="36"/>
        </w:rPr>
      </w:pPr>
      <w:r w:rsidRPr="00EF1AA1">
        <w:rPr>
          <w:rFonts w:ascii="Verdana" w:hAnsi="Verdana"/>
          <w:sz w:val="36"/>
          <w:szCs w:val="36"/>
        </w:rPr>
        <w:t>A review of the evidence for blood donor selection criteria was conducted by the Advisory Committee on the Safety of Blood, Tissues and Organs (SaBTO)</w:t>
      </w:r>
      <w:r w:rsidR="000D4E49" w:rsidRPr="00EF1AA1">
        <w:rPr>
          <w:rFonts w:ascii="Verdana" w:hAnsi="Verdana"/>
          <w:sz w:val="36"/>
          <w:szCs w:val="36"/>
        </w:rPr>
        <w:t xml:space="preserve"> and published in 2011</w:t>
      </w:r>
      <w:r w:rsidRPr="00EF1AA1">
        <w:rPr>
          <w:rFonts w:ascii="Verdana" w:hAnsi="Verdana"/>
          <w:sz w:val="36"/>
          <w:szCs w:val="36"/>
        </w:rPr>
        <w:t xml:space="preserve">. </w:t>
      </w:r>
      <w:r w:rsidR="000D4E49" w:rsidRPr="00EF1AA1">
        <w:rPr>
          <w:rFonts w:ascii="Verdana" w:hAnsi="Verdana"/>
          <w:sz w:val="36"/>
          <w:szCs w:val="36"/>
        </w:rPr>
        <w:t>The Committee was tasked with “reviewing the evidence base for donor deferral and exclusion in the UK in relation to sexual behaviours”</w:t>
      </w:r>
      <w:r w:rsidR="000D4E49" w:rsidRPr="00EF1AA1">
        <w:rPr>
          <w:rStyle w:val="FootnoteReference"/>
          <w:rFonts w:ascii="Verdana" w:hAnsi="Verdana"/>
          <w:sz w:val="36"/>
          <w:szCs w:val="36"/>
        </w:rPr>
        <w:footnoteReference w:id="2"/>
      </w:r>
      <w:r w:rsidR="000D4E49" w:rsidRPr="00EF1AA1">
        <w:rPr>
          <w:rFonts w:ascii="Verdana" w:hAnsi="Verdana"/>
          <w:sz w:val="36"/>
          <w:szCs w:val="36"/>
        </w:rPr>
        <w:t xml:space="preserve"> and considered;</w:t>
      </w:r>
    </w:p>
    <w:p w:rsidR="007535AF" w:rsidRPr="00EF1AA1" w:rsidRDefault="007535AF" w:rsidP="009D6F2E">
      <w:pPr>
        <w:jc w:val="both"/>
        <w:rPr>
          <w:rFonts w:ascii="Verdana" w:hAnsi="Verdana"/>
          <w:sz w:val="36"/>
          <w:szCs w:val="36"/>
        </w:rPr>
      </w:pPr>
    </w:p>
    <w:p w:rsidR="000D4E49" w:rsidRPr="00EF1AA1" w:rsidRDefault="000D4E49" w:rsidP="000D4E49">
      <w:pPr>
        <w:pStyle w:val="ListParagraph"/>
        <w:numPr>
          <w:ilvl w:val="0"/>
          <w:numId w:val="1"/>
        </w:numPr>
        <w:jc w:val="both"/>
        <w:rPr>
          <w:rFonts w:ascii="Verdana" w:hAnsi="Verdana"/>
          <w:sz w:val="36"/>
          <w:szCs w:val="36"/>
        </w:rPr>
      </w:pPr>
      <w:r w:rsidRPr="00EF1AA1">
        <w:rPr>
          <w:rFonts w:ascii="Verdana" w:hAnsi="Verdana"/>
          <w:sz w:val="36"/>
          <w:szCs w:val="36"/>
        </w:rPr>
        <w:t>Advances in donation testing and handling;</w:t>
      </w:r>
    </w:p>
    <w:p w:rsidR="000D4E49" w:rsidRPr="00EF1AA1" w:rsidRDefault="000D4E49" w:rsidP="000D4E49">
      <w:pPr>
        <w:pStyle w:val="ListParagraph"/>
        <w:numPr>
          <w:ilvl w:val="0"/>
          <w:numId w:val="1"/>
        </w:numPr>
        <w:jc w:val="both"/>
        <w:rPr>
          <w:rFonts w:ascii="Verdana" w:hAnsi="Verdana"/>
          <w:sz w:val="36"/>
          <w:szCs w:val="36"/>
        </w:rPr>
      </w:pPr>
      <w:r w:rsidRPr="00EF1AA1">
        <w:rPr>
          <w:rFonts w:ascii="Verdana" w:hAnsi="Verdana"/>
          <w:sz w:val="36"/>
          <w:szCs w:val="36"/>
        </w:rPr>
        <w:t>Changes to legislation;</w:t>
      </w:r>
    </w:p>
    <w:p w:rsidR="000D4E49" w:rsidRPr="00EF1AA1" w:rsidRDefault="000D4E49" w:rsidP="000D4E49">
      <w:pPr>
        <w:pStyle w:val="ListParagraph"/>
        <w:numPr>
          <w:ilvl w:val="0"/>
          <w:numId w:val="1"/>
        </w:numPr>
        <w:jc w:val="both"/>
        <w:rPr>
          <w:rFonts w:ascii="Verdana" w:hAnsi="Verdana"/>
          <w:sz w:val="36"/>
          <w:szCs w:val="36"/>
        </w:rPr>
      </w:pPr>
      <w:r w:rsidRPr="00EF1AA1">
        <w:rPr>
          <w:rFonts w:ascii="Verdana" w:hAnsi="Verdana"/>
          <w:sz w:val="36"/>
          <w:szCs w:val="36"/>
        </w:rPr>
        <w:t>Societal changes;</w:t>
      </w:r>
    </w:p>
    <w:p w:rsidR="000D4E49" w:rsidRPr="00EF1AA1" w:rsidRDefault="000D4E49" w:rsidP="000D4E49">
      <w:pPr>
        <w:pStyle w:val="ListParagraph"/>
        <w:numPr>
          <w:ilvl w:val="0"/>
          <w:numId w:val="1"/>
        </w:numPr>
        <w:jc w:val="both"/>
        <w:rPr>
          <w:rFonts w:ascii="Verdana" w:hAnsi="Verdana"/>
          <w:sz w:val="36"/>
          <w:szCs w:val="36"/>
        </w:rPr>
      </w:pPr>
      <w:r w:rsidRPr="00EF1AA1">
        <w:rPr>
          <w:rFonts w:ascii="Verdana" w:hAnsi="Verdana"/>
          <w:sz w:val="36"/>
          <w:szCs w:val="36"/>
        </w:rPr>
        <w:t>Recent information on compliance.</w:t>
      </w:r>
      <w:r w:rsidR="008E0D38" w:rsidRPr="00EF1AA1">
        <w:rPr>
          <w:rStyle w:val="FootnoteReference"/>
          <w:rFonts w:ascii="Verdana" w:hAnsi="Verdana"/>
          <w:sz w:val="36"/>
          <w:szCs w:val="36"/>
        </w:rPr>
        <w:footnoteReference w:id="3"/>
      </w:r>
    </w:p>
    <w:p w:rsidR="009D6F2E" w:rsidRPr="00EF1AA1" w:rsidRDefault="009D6F2E" w:rsidP="009D6F2E">
      <w:pPr>
        <w:jc w:val="both"/>
        <w:rPr>
          <w:rFonts w:ascii="Verdana" w:hAnsi="Verdana"/>
          <w:sz w:val="36"/>
          <w:szCs w:val="36"/>
        </w:rPr>
      </w:pPr>
    </w:p>
    <w:p w:rsidR="009D6F2E" w:rsidRPr="00EF1AA1" w:rsidRDefault="009D6F2E" w:rsidP="009D6F2E">
      <w:pPr>
        <w:jc w:val="both"/>
        <w:rPr>
          <w:rFonts w:ascii="Verdana" w:hAnsi="Verdana"/>
          <w:sz w:val="36"/>
          <w:szCs w:val="36"/>
        </w:rPr>
      </w:pPr>
      <w:r w:rsidRPr="00EF1AA1">
        <w:rPr>
          <w:rFonts w:ascii="Verdana" w:hAnsi="Verdana"/>
          <w:sz w:val="36"/>
          <w:szCs w:val="36"/>
        </w:rPr>
        <w:t>The outcome of th</w:t>
      </w:r>
      <w:r w:rsidR="00331E20" w:rsidRPr="00EF1AA1">
        <w:rPr>
          <w:rFonts w:ascii="Verdana" w:hAnsi="Verdana"/>
          <w:sz w:val="36"/>
          <w:szCs w:val="36"/>
        </w:rPr>
        <w:t>is</w:t>
      </w:r>
      <w:r w:rsidRPr="00EF1AA1">
        <w:rPr>
          <w:rFonts w:ascii="Verdana" w:hAnsi="Verdana"/>
          <w:sz w:val="36"/>
          <w:szCs w:val="36"/>
        </w:rPr>
        <w:t xml:space="preserve"> report was a change in </w:t>
      </w:r>
      <w:r w:rsidR="00331E20" w:rsidRPr="00EF1AA1">
        <w:rPr>
          <w:rFonts w:ascii="Verdana" w:hAnsi="Verdana"/>
          <w:sz w:val="36"/>
          <w:szCs w:val="36"/>
        </w:rPr>
        <w:t xml:space="preserve">blood donation deferral </w:t>
      </w:r>
      <w:r w:rsidRPr="00EF1AA1">
        <w:rPr>
          <w:rFonts w:ascii="Verdana" w:hAnsi="Verdana"/>
          <w:sz w:val="36"/>
          <w:szCs w:val="36"/>
        </w:rPr>
        <w:t xml:space="preserve">policy, with health ministers in England, Wales and Scotland removing the permanent deferral for MSM. </w:t>
      </w:r>
      <w:r w:rsidR="000D4E49" w:rsidRPr="00EF1AA1">
        <w:rPr>
          <w:rFonts w:ascii="Verdana" w:hAnsi="Verdana"/>
          <w:sz w:val="36"/>
          <w:szCs w:val="36"/>
        </w:rPr>
        <w:t xml:space="preserve">From 7 November 2011 this has been </w:t>
      </w:r>
      <w:r w:rsidRPr="00EF1AA1">
        <w:rPr>
          <w:rFonts w:ascii="Verdana" w:hAnsi="Verdana"/>
          <w:sz w:val="36"/>
          <w:szCs w:val="36"/>
        </w:rPr>
        <w:t xml:space="preserve">replaced by a one year </w:t>
      </w:r>
      <w:r w:rsidR="000D4E49" w:rsidRPr="00EF1AA1">
        <w:rPr>
          <w:rFonts w:ascii="Verdana" w:hAnsi="Verdana"/>
          <w:sz w:val="36"/>
          <w:szCs w:val="36"/>
        </w:rPr>
        <w:t xml:space="preserve">deferral </w:t>
      </w:r>
      <w:r w:rsidRPr="00EF1AA1">
        <w:rPr>
          <w:rFonts w:ascii="Verdana" w:hAnsi="Verdana"/>
          <w:sz w:val="36"/>
          <w:szCs w:val="36"/>
        </w:rPr>
        <w:t>period</w:t>
      </w:r>
      <w:r w:rsidR="000D4E49" w:rsidRPr="00EF1AA1">
        <w:rPr>
          <w:rFonts w:ascii="Verdana" w:hAnsi="Verdana"/>
          <w:sz w:val="36"/>
          <w:szCs w:val="36"/>
        </w:rPr>
        <w:t>,</w:t>
      </w:r>
      <w:r w:rsidRPr="00EF1AA1">
        <w:rPr>
          <w:rFonts w:ascii="Verdana" w:hAnsi="Verdana"/>
          <w:sz w:val="36"/>
          <w:szCs w:val="36"/>
        </w:rPr>
        <w:t xml:space="preserve"> subject to all other criteria being met. </w:t>
      </w:r>
    </w:p>
    <w:p w:rsidR="000D4E49" w:rsidRPr="00EF1AA1" w:rsidRDefault="000D4E49" w:rsidP="009D6F2E">
      <w:pPr>
        <w:jc w:val="both"/>
        <w:rPr>
          <w:rFonts w:ascii="Verdana" w:hAnsi="Verdana"/>
          <w:sz w:val="36"/>
          <w:szCs w:val="36"/>
        </w:rPr>
      </w:pPr>
    </w:p>
    <w:p w:rsidR="008E0D38" w:rsidRPr="00EF1AA1" w:rsidRDefault="000D3AB4" w:rsidP="009D6F2E">
      <w:pPr>
        <w:jc w:val="both"/>
        <w:rPr>
          <w:rFonts w:ascii="Verdana" w:hAnsi="Verdana"/>
          <w:b/>
          <w:sz w:val="36"/>
          <w:szCs w:val="36"/>
        </w:rPr>
      </w:pPr>
      <w:r w:rsidRPr="00EF1AA1">
        <w:rPr>
          <w:rFonts w:ascii="Verdana" w:hAnsi="Verdana"/>
          <w:b/>
          <w:sz w:val="36"/>
          <w:szCs w:val="36"/>
        </w:rPr>
        <w:t xml:space="preserve">International </w:t>
      </w:r>
      <w:r w:rsidR="008E0D38" w:rsidRPr="00EF1AA1">
        <w:rPr>
          <w:rFonts w:ascii="Verdana" w:hAnsi="Verdana"/>
          <w:b/>
          <w:sz w:val="36"/>
          <w:szCs w:val="36"/>
        </w:rPr>
        <w:t xml:space="preserve">Human Rights </w:t>
      </w:r>
      <w:r w:rsidRPr="00EF1AA1">
        <w:rPr>
          <w:rFonts w:ascii="Verdana" w:hAnsi="Verdana"/>
          <w:b/>
          <w:sz w:val="36"/>
          <w:szCs w:val="36"/>
        </w:rPr>
        <w:t>Law</w:t>
      </w:r>
    </w:p>
    <w:p w:rsidR="008E0D38" w:rsidRPr="00EF1AA1" w:rsidRDefault="008E0D38" w:rsidP="009D6F2E">
      <w:pPr>
        <w:jc w:val="both"/>
        <w:rPr>
          <w:rFonts w:ascii="Verdana" w:hAnsi="Verdana"/>
          <w:sz w:val="36"/>
          <w:szCs w:val="36"/>
        </w:rPr>
      </w:pPr>
    </w:p>
    <w:p w:rsidR="008E0D38" w:rsidRPr="00EF1AA1" w:rsidRDefault="008E0D38" w:rsidP="008E0D38">
      <w:pPr>
        <w:jc w:val="both"/>
        <w:rPr>
          <w:rFonts w:ascii="Verdana" w:hAnsi="Verdana"/>
          <w:sz w:val="36"/>
          <w:szCs w:val="36"/>
        </w:rPr>
      </w:pPr>
      <w:r w:rsidRPr="00EF1AA1">
        <w:rPr>
          <w:rFonts w:ascii="Verdana" w:hAnsi="Verdana"/>
          <w:sz w:val="36"/>
          <w:szCs w:val="36"/>
        </w:rPr>
        <w:t>When making a decision on any change to deferral practices, the following framework of international human rights law must be adhered to and consideration given in order to ensure compliance with best practice. The International Covenant on Civil and Political Rights, 1966, the European Convention on Human Rights, given further domestic effect by the Human Rights Act, 1998 and the European Union Charter of Fundamental Rights, 2000 are particularly relevant to this issue.</w:t>
      </w:r>
    </w:p>
    <w:p w:rsidR="008E0D38" w:rsidRPr="00EF1AA1" w:rsidRDefault="008E0D38" w:rsidP="008E0D38">
      <w:pPr>
        <w:jc w:val="both"/>
        <w:rPr>
          <w:rFonts w:ascii="Verdana" w:hAnsi="Verdana"/>
          <w:sz w:val="36"/>
          <w:szCs w:val="36"/>
        </w:rPr>
      </w:pPr>
    </w:p>
    <w:p w:rsidR="008E0D38" w:rsidRPr="00EF1AA1" w:rsidRDefault="008E0D38" w:rsidP="008E0D38">
      <w:pPr>
        <w:jc w:val="both"/>
        <w:rPr>
          <w:rFonts w:ascii="Verdana" w:hAnsi="Verdana"/>
          <w:sz w:val="36"/>
          <w:szCs w:val="36"/>
        </w:rPr>
      </w:pPr>
      <w:r w:rsidRPr="00EF1AA1">
        <w:rPr>
          <w:rFonts w:ascii="Verdana" w:hAnsi="Verdana"/>
          <w:sz w:val="36"/>
          <w:szCs w:val="36"/>
        </w:rPr>
        <w:t>Northern Ireland is subject to the obligations contained within the International Covenant on Civil and Political Rights by virtue of the United Kingdom having ratified the Covenant without reservation of these Articles. The Committee, therefore, must act in compliance with the UK’s international human rights obligations.</w:t>
      </w:r>
    </w:p>
    <w:p w:rsidR="000D4E49" w:rsidRPr="00EF1AA1" w:rsidRDefault="000D4E49" w:rsidP="000D4E49">
      <w:pPr>
        <w:jc w:val="both"/>
        <w:rPr>
          <w:rFonts w:ascii="Verdana" w:hAnsi="Verdana"/>
          <w:sz w:val="36"/>
          <w:szCs w:val="36"/>
        </w:rPr>
      </w:pPr>
    </w:p>
    <w:p w:rsidR="000D4E49" w:rsidRPr="00EF1AA1" w:rsidRDefault="000D4E49" w:rsidP="000D4E49">
      <w:pPr>
        <w:jc w:val="both"/>
        <w:rPr>
          <w:rFonts w:ascii="Verdana" w:hAnsi="Verdana"/>
          <w:sz w:val="36"/>
          <w:szCs w:val="36"/>
        </w:rPr>
      </w:pPr>
      <w:r w:rsidRPr="00EF1AA1">
        <w:rPr>
          <w:rFonts w:ascii="Verdana" w:hAnsi="Verdana"/>
          <w:sz w:val="36"/>
          <w:szCs w:val="36"/>
        </w:rPr>
        <w:t>The International Covenant on Civil and Political Rights recognises the principles of equality under Article 2(1) which states that:</w:t>
      </w:r>
    </w:p>
    <w:p w:rsidR="008E0D38" w:rsidRPr="00EF1AA1" w:rsidRDefault="008E0D38" w:rsidP="000D4E49">
      <w:pPr>
        <w:jc w:val="both"/>
        <w:rPr>
          <w:rFonts w:ascii="Verdana" w:hAnsi="Verdana"/>
          <w:sz w:val="36"/>
          <w:szCs w:val="36"/>
        </w:rPr>
      </w:pPr>
    </w:p>
    <w:p w:rsidR="000D4E49" w:rsidRPr="00EF1AA1" w:rsidRDefault="000D4E49" w:rsidP="008E0D38">
      <w:pPr>
        <w:ind w:left="680" w:right="680"/>
        <w:jc w:val="both"/>
        <w:rPr>
          <w:rFonts w:ascii="Verdana" w:hAnsi="Verdana"/>
          <w:sz w:val="36"/>
          <w:szCs w:val="36"/>
        </w:rPr>
      </w:pPr>
      <w:r w:rsidRPr="00EF1AA1">
        <w:rPr>
          <w:rFonts w:ascii="Verdana" w:hAnsi="Verdana"/>
          <w:sz w:val="36"/>
          <w:szCs w:val="36"/>
        </w:rPr>
        <w:t xml:space="preserve">Each State Party to the present Covenant undertakes to respect and </w:t>
      </w:r>
      <w:r w:rsidRPr="00EF1AA1">
        <w:rPr>
          <w:rFonts w:ascii="Verdana" w:hAnsi="Verdana"/>
          <w:sz w:val="36"/>
          <w:szCs w:val="36"/>
        </w:rPr>
        <w:lastRenderedPageBreak/>
        <w:t xml:space="preserve">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 </w:t>
      </w:r>
    </w:p>
    <w:p w:rsidR="008E0D38" w:rsidRPr="00EF1AA1" w:rsidRDefault="008E0D38" w:rsidP="000D4E49">
      <w:pPr>
        <w:jc w:val="both"/>
        <w:rPr>
          <w:rFonts w:ascii="Verdana" w:hAnsi="Verdana"/>
          <w:sz w:val="36"/>
          <w:szCs w:val="36"/>
        </w:rPr>
      </w:pPr>
    </w:p>
    <w:p w:rsidR="000D4E49" w:rsidRPr="00EF1AA1" w:rsidRDefault="000D4E49" w:rsidP="000D4E49">
      <w:pPr>
        <w:jc w:val="both"/>
        <w:rPr>
          <w:rFonts w:ascii="Verdana" w:hAnsi="Verdana"/>
          <w:sz w:val="36"/>
          <w:szCs w:val="36"/>
        </w:rPr>
      </w:pPr>
      <w:r w:rsidRPr="00EF1AA1">
        <w:rPr>
          <w:rFonts w:ascii="Verdana" w:hAnsi="Verdana"/>
          <w:sz w:val="36"/>
          <w:szCs w:val="36"/>
        </w:rPr>
        <w:t>Furthermore, a free standing prohibition on discrimination exists under Article 26, which states that:</w:t>
      </w:r>
    </w:p>
    <w:p w:rsidR="000D4E49" w:rsidRPr="00EF1AA1" w:rsidRDefault="000D4E49" w:rsidP="000D4E49">
      <w:pPr>
        <w:jc w:val="both"/>
        <w:rPr>
          <w:rFonts w:ascii="Verdana" w:hAnsi="Verdana"/>
          <w:sz w:val="36"/>
          <w:szCs w:val="36"/>
        </w:rPr>
      </w:pPr>
    </w:p>
    <w:p w:rsidR="000D4E49" w:rsidRPr="00EF1AA1" w:rsidRDefault="000D4E49" w:rsidP="008E0D38">
      <w:pPr>
        <w:ind w:left="680" w:right="680"/>
        <w:jc w:val="both"/>
        <w:rPr>
          <w:rFonts w:ascii="Verdana" w:hAnsi="Verdana"/>
          <w:sz w:val="36"/>
          <w:szCs w:val="36"/>
        </w:rPr>
      </w:pPr>
      <w:r w:rsidRPr="00EF1AA1">
        <w:rPr>
          <w:rFonts w:ascii="Verdana" w:hAnsi="Verdana"/>
          <w:sz w:val="36"/>
          <w:szCs w:val="36"/>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rsidR="000D4E49" w:rsidRPr="00EF1AA1" w:rsidRDefault="000D4E49" w:rsidP="000D4E49">
      <w:pPr>
        <w:jc w:val="both"/>
        <w:rPr>
          <w:rFonts w:ascii="Verdana" w:hAnsi="Verdana"/>
          <w:sz w:val="36"/>
          <w:szCs w:val="36"/>
        </w:rPr>
      </w:pPr>
    </w:p>
    <w:p w:rsidR="000D4E49" w:rsidRPr="00EF1AA1" w:rsidRDefault="000D4E49" w:rsidP="000D4E49">
      <w:pPr>
        <w:jc w:val="both"/>
        <w:rPr>
          <w:rFonts w:ascii="Verdana" w:hAnsi="Verdana"/>
          <w:sz w:val="36"/>
          <w:szCs w:val="36"/>
        </w:rPr>
      </w:pPr>
      <w:r w:rsidRPr="00EF1AA1">
        <w:rPr>
          <w:rFonts w:ascii="Verdana" w:hAnsi="Verdana"/>
          <w:sz w:val="36"/>
          <w:szCs w:val="36"/>
        </w:rPr>
        <w:t xml:space="preserve">In </w:t>
      </w:r>
      <w:r w:rsidRPr="00EF1AA1">
        <w:rPr>
          <w:rFonts w:ascii="Verdana" w:hAnsi="Verdana"/>
          <w:i/>
          <w:sz w:val="36"/>
          <w:szCs w:val="36"/>
        </w:rPr>
        <w:t>Toonen v Australia</w:t>
      </w:r>
      <w:r w:rsidRPr="00EF1AA1">
        <w:rPr>
          <w:rFonts w:ascii="Verdana" w:hAnsi="Verdana"/>
          <w:sz w:val="36"/>
          <w:szCs w:val="36"/>
        </w:rPr>
        <w:t xml:space="preserve"> the U</w:t>
      </w:r>
      <w:r w:rsidR="00794CE5" w:rsidRPr="00EF1AA1">
        <w:rPr>
          <w:rFonts w:ascii="Verdana" w:hAnsi="Verdana"/>
          <w:sz w:val="36"/>
          <w:szCs w:val="36"/>
        </w:rPr>
        <w:t xml:space="preserve">nited </w:t>
      </w:r>
      <w:r w:rsidRPr="00EF1AA1">
        <w:rPr>
          <w:rFonts w:ascii="Verdana" w:hAnsi="Verdana"/>
          <w:sz w:val="36"/>
          <w:szCs w:val="36"/>
        </w:rPr>
        <w:t>N</w:t>
      </w:r>
      <w:r w:rsidR="00794CE5" w:rsidRPr="00EF1AA1">
        <w:rPr>
          <w:rFonts w:ascii="Verdana" w:hAnsi="Verdana"/>
          <w:sz w:val="36"/>
          <w:szCs w:val="36"/>
        </w:rPr>
        <w:t>ations</w:t>
      </w:r>
      <w:r w:rsidRPr="00EF1AA1">
        <w:rPr>
          <w:rFonts w:ascii="Verdana" w:hAnsi="Verdana"/>
          <w:sz w:val="36"/>
          <w:szCs w:val="36"/>
        </w:rPr>
        <w:t xml:space="preserve"> Human Rights Committee considered that sexual orientation falls within the scope of both Articles 2 and 26.</w:t>
      </w:r>
      <w:r w:rsidR="00794CE5" w:rsidRPr="00EF1AA1">
        <w:rPr>
          <w:rStyle w:val="FootnoteReference"/>
          <w:rFonts w:ascii="Verdana" w:hAnsi="Verdana"/>
          <w:sz w:val="36"/>
          <w:szCs w:val="36"/>
        </w:rPr>
        <w:footnoteReference w:id="4"/>
      </w:r>
      <w:r w:rsidRPr="00EF1AA1">
        <w:rPr>
          <w:rFonts w:ascii="Verdana" w:hAnsi="Verdana"/>
          <w:sz w:val="36"/>
          <w:szCs w:val="36"/>
        </w:rPr>
        <w:t xml:space="preserve">  </w:t>
      </w:r>
    </w:p>
    <w:p w:rsidR="000D4E49" w:rsidRPr="00EF1AA1" w:rsidRDefault="000D4E49" w:rsidP="000D4E49">
      <w:pPr>
        <w:jc w:val="both"/>
        <w:rPr>
          <w:rFonts w:ascii="Verdana" w:hAnsi="Verdana"/>
          <w:sz w:val="36"/>
          <w:szCs w:val="36"/>
        </w:rPr>
      </w:pPr>
      <w:r w:rsidRPr="00EF1AA1">
        <w:rPr>
          <w:rFonts w:ascii="Verdana" w:hAnsi="Verdana"/>
          <w:sz w:val="36"/>
          <w:szCs w:val="36"/>
        </w:rPr>
        <w:lastRenderedPageBreak/>
        <w:t>At the domestic level Northern Ireland is bound by the European Convention on Human Rights as incorporated by the Human Rights Act, 1998. These rights are binding on all public authorities and can be relied upon in the domestic courts. The relevant provisions for consideration are Articles 8 and 14;</w:t>
      </w:r>
    </w:p>
    <w:p w:rsidR="000D4E49" w:rsidRPr="00EF1AA1" w:rsidRDefault="000D4E49" w:rsidP="000D4E49">
      <w:pPr>
        <w:jc w:val="both"/>
        <w:rPr>
          <w:rFonts w:ascii="Verdana" w:hAnsi="Verdana"/>
          <w:sz w:val="36"/>
          <w:szCs w:val="36"/>
        </w:rPr>
      </w:pPr>
    </w:p>
    <w:p w:rsidR="00794CE5" w:rsidRPr="00EF1AA1" w:rsidRDefault="00794CE5" w:rsidP="008E0D38">
      <w:pPr>
        <w:ind w:left="680" w:right="680"/>
        <w:jc w:val="both"/>
        <w:rPr>
          <w:rFonts w:ascii="Verdana" w:hAnsi="Verdana"/>
          <w:b/>
          <w:sz w:val="36"/>
          <w:szCs w:val="36"/>
        </w:rPr>
      </w:pPr>
      <w:r w:rsidRPr="00EF1AA1">
        <w:rPr>
          <w:rFonts w:ascii="Verdana" w:hAnsi="Verdana"/>
          <w:b/>
          <w:sz w:val="36"/>
          <w:szCs w:val="36"/>
        </w:rPr>
        <w:t>Article 8:</w:t>
      </w:r>
    </w:p>
    <w:p w:rsidR="000D4E49" w:rsidRPr="00EF1AA1" w:rsidRDefault="00794CE5" w:rsidP="008E0D38">
      <w:pPr>
        <w:ind w:left="680" w:right="680"/>
        <w:jc w:val="both"/>
        <w:rPr>
          <w:rFonts w:ascii="Verdana" w:hAnsi="Verdana"/>
          <w:sz w:val="36"/>
          <w:szCs w:val="36"/>
        </w:rPr>
      </w:pPr>
      <w:r w:rsidRPr="00EF1AA1">
        <w:rPr>
          <w:rFonts w:ascii="Verdana" w:hAnsi="Verdana"/>
          <w:sz w:val="36"/>
          <w:szCs w:val="36"/>
        </w:rPr>
        <w:t xml:space="preserve">(1) </w:t>
      </w:r>
      <w:r w:rsidR="000D4E49" w:rsidRPr="00EF1AA1">
        <w:rPr>
          <w:rFonts w:ascii="Verdana" w:hAnsi="Verdana"/>
          <w:sz w:val="36"/>
          <w:szCs w:val="36"/>
        </w:rPr>
        <w:t xml:space="preserve">Everyone has the right to respect for his private and family life, his home and his correspondence. </w:t>
      </w:r>
    </w:p>
    <w:p w:rsidR="000D4E49" w:rsidRPr="00EF1AA1" w:rsidRDefault="000D4E49" w:rsidP="008E0D38">
      <w:pPr>
        <w:ind w:left="680" w:right="680"/>
        <w:jc w:val="both"/>
        <w:rPr>
          <w:rFonts w:ascii="Verdana" w:hAnsi="Verdana"/>
          <w:sz w:val="36"/>
          <w:szCs w:val="36"/>
        </w:rPr>
      </w:pPr>
    </w:p>
    <w:p w:rsidR="000D4E49" w:rsidRPr="00EF1AA1" w:rsidRDefault="000D4E49" w:rsidP="008E0D38">
      <w:pPr>
        <w:ind w:left="680" w:right="680"/>
        <w:jc w:val="both"/>
        <w:rPr>
          <w:rFonts w:ascii="Verdana" w:hAnsi="Verdana"/>
          <w:sz w:val="36"/>
          <w:szCs w:val="36"/>
        </w:rPr>
      </w:pPr>
      <w:r w:rsidRPr="00EF1AA1">
        <w:rPr>
          <w:rFonts w:ascii="Verdana" w:hAnsi="Verdana"/>
          <w:sz w:val="36"/>
          <w:szCs w:val="36"/>
        </w:rPr>
        <w:t xml:space="preserve">(2)There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 </w:t>
      </w:r>
    </w:p>
    <w:p w:rsidR="000D4E49" w:rsidRPr="00EF1AA1" w:rsidRDefault="000D4E49" w:rsidP="008E0D38">
      <w:pPr>
        <w:ind w:left="680" w:right="680"/>
        <w:jc w:val="both"/>
        <w:rPr>
          <w:rFonts w:ascii="Verdana" w:hAnsi="Verdana"/>
          <w:sz w:val="36"/>
          <w:szCs w:val="36"/>
        </w:rPr>
      </w:pPr>
    </w:p>
    <w:p w:rsidR="00794CE5" w:rsidRPr="00EF1AA1" w:rsidRDefault="000D4E49" w:rsidP="008E0D38">
      <w:pPr>
        <w:ind w:left="680" w:right="680"/>
        <w:jc w:val="both"/>
        <w:rPr>
          <w:rFonts w:ascii="Verdana" w:hAnsi="Verdana"/>
          <w:b/>
          <w:sz w:val="36"/>
          <w:szCs w:val="36"/>
        </w:rPr>
      </w:pPr>
      <w:r w:rsidRPr="00EF1AA1">
        <w:rPr>
          <w:rFonts w:ascii="Verdana" w:hAnsi="Verdana"/>
          <w:b/>
          <w:sz w:val="36"/>
          <w:szCs w:val="36"/>
        </w:rPr>
        <w:t xml:space="preserve">Article 14: </w:t>
      </w:r>
    </w:p>
    <w:p w:rsidR="000D4E49" w:rsidRPr="00EF1AA1" w:rsidRDefault="000D4E49" w:rsidP="008E0D38">
      <w:pPr>
        <w:ind w:left="680" w:right="680"/>
        <w:jc w:val="both"/>
        <w:rPr>
          <w:rFonts w:ascii="Verdana" w:hAnsi="Verdana"/>
          <w:sz w:val="36"/>
          <w:szCs w:val="36"/>
        </w:rPr>
      </w:pPr>
      <w:r w:rsidRPr="00EF1AA1">
        <w:rPr>
          <w:rFonts w:ascii="Verdana" w:hAnsi="Verdana"/>
          <w:sz w:val="36"/>
          <w:szCs w:val="36"/>
        </w:rPr>
        <w:t xml:space="preserve">The enjoyment of the rights and freedoms set forth in this Convention shall be secured without </w:t>
      </w:r>
      <w:r w:rsidRPr="00EF1AA1">
        <w:rPr>
          <w:rFonts w:ascii="Verdana" w:hAnsi="Verdana"/>
          <w:sz w:val="36"/>
          <w:szCs w:val="36"/>
        </w:rPr>
        <w:lastRenderedPageBreak/>
        <w:t>discrimination on any ground such as sex, race, colour, language, religion, political or other opinion, national or social origin, association with a national minority, property, birth or other status.</w:t>
      </w:r>
    </w:p>
    <w:p w:rsidR="000D4E49" w:rsidRPr="00EF1AA1" w:rsidRDefault="000D4E49" w:rsidP="000D4E49">
      <w:pPr>
        <w:jc w:val="both"/>
        <w:rPr>
          <w:rFonts w:ascii="Verdana" w:hAnsi="Verdana"/>
          <w:sz w:val="36"/>
          <w:szCs w:val="36"/>
        </w:rPr>
      </w:pPr>
    </w:p>
    <w:p w:rsidR="000D4E49" w:rsidRPr="00EF1AA1" w:rsidRDefault="000D4E49" w:rsidP="000D4E49">
      <w:pPr>
        <w:jc w:val="both"/>
        <w:rPr>
          <w:rFonts w:ascii="Verdana" w:hAnsi="Verdana"/>
          <w:sz w:val="36"/>
          <w:szCs w:val="36"/>
        </w:rPr>
      </w:pPr>
      <w:r w:rsidRPr="00EF1AA1">
        <w:rPr>
          <w:rFonts w:ascii="Verdana" w:hAnsi="Verdana"/>
          <w:sz w:val="36"/>
          <w:szCs w:val="36"/>
        </w:rPr>
        <w:t xml:space="preserve">The non-discrimination </w:t>
      </w:r>
      <w:r w:rsidR="00776BD1" w:rsidRPr="00EF1AA1">
        <w:rPr>
          <w:rFonts w:ascii="Verdana" w:hAnsi="Verdana"/>
          <w:sz w:val="36"/>
          <w:szCs w:val="36"/>
        </w:rPr>
        <w:t>a</w:t>
      </w:r>
      <w:r w:rsidRPr="00EF1AA1">
        <w:rPr>
          <w:rFonts w:ascii="Verdana" w:hAnsi="Verdana"/>
          <w:sz w:val="36"/>
          <w:szCs w:val="36"/>
        </w:rPr>
        <w:t xml:space="preserve">rticle contained within Article 14 is not autonomous and can only be engaged in connection with another of the rights enjoyed under the Convention. </w:t>
      </w:r>
    </w:p>
    <w:p w:rsidR="000D4E49" w:rsidRPr="00EF1AA1" w:rsidRDefault="000D4E49" w:rsidP="000D4E49">
      <w:pPr>
        <w:jc w:val="both"/>
        <w:rPr>
          <w:rFonts w:ascii="Verdana" w:hAnsi="Verdana"/>
          <w:sz w:val="36"/>
          <w:szCs w:val="36"/>
        </w:rPr>
      </w:pPr>
    </w:p>
    <w:p w:rsidR="000D4E49" w:rsidRPr="00EF1AA1" w:rsidRDefault="000D4E49" w:rsidP="000D4E49">
      <w:pPr>
        <w:jc w:val="both"/>
        <w:rPr>
          <w:rFonts w:ascii="Verdana" w:hAnsi="Verdana"/>
          <w:sz w:val="36"/>
          <w:szCs w:val="36"/>
        </w:rPr>
      </w:pPr>
      <w:r w:rsidRPr="00EF1AA1">
        <w:rPr>
          <w:rFonts w:ascii="Verdana" w:hAnsi="Verdana"/>
          <w:sz w:val="36"/>
          <w:szCs w:val="36"/>
        </w:rPr>
        <w:t xml:space="preserve">The deferral of MSM has not yet been litigated before the European Court of Human Rights and so no definitive jurisprudence is available. However, the European Court has commented that a difference of treatment based on sexuality must have “particularly serious reasons by way of justification”. </w:t>
      </w:r>
    </w:p>
    <w:p w:rsidR="00794CE5" w:rsidRPr="00EF1AA1" w:rsidRDefault="00794CE5" w:rsidP="000D4E49">
      <w:pPr>
        <w:jc w:val="both"/>
        <w:rPr>
          <w:rFonts w:ascii="Verdana" w:hAnsi="Verdana"/>
          <w:sz w:val="36"/>
          <w:szCs w:val="36"/>
        </w:rPr>
      </w:pPr>
    </w:p>
    <w:p w:rsidR="00794CE5" w:rsidRPr="00EF1AA1" w:rsidRDefault="00794CE5" w:rsidP="000D4E49">
      <w:pPr>
        <w:jc w:val="both"/>
        <w:rPr>
          <w:rFonts w:ascii="Verdana" w:hAnsi="Verdana"/>
          <w:sz w:val="36"/>
          <w:szCs w:val="36"/>
        </w:rPr>
      </w:pPr>
      <w:r w:rsidRPr="00EF1AA1">
        <w:rPr>
          <w:rFonts w:ascii="Verdana" w:hAnsi="Verdana"/>
          <w:sz w:val="36"/>
          <w:szCs w:val="36"/>
        </w:rPr>
        <w:t xml:space="preserve">The European Court of Human Rights and the United Nations Human Rights Committee have indicated the test which must be applied to determine whether a difference in treatment is justified. Any rule, which makes a distinction on the basis of sexual orientation, can only be justified in law if there is a legitimate aim and the means are proportionate and necessary. This requires that there must be a reasonable relationship “between the means employed and the aim </w:t>
      </w:r>
      <w:r w:rsidRPr="00EF1AA1">
        <w:rPr>
          <w:rFonts w:ascii="Verdana" w:hAnsi="Verdana"/>
          <w:sz w:val="36"/>
          <w:szCs w:val="36"/>
        </w:rPr>
        <w:lastRenderedPageBreak/>
        <w:t>sought to be achieved”.</w:t>
      </w:r>
      <w:r w:rsidRPr="00EF1AA1">
        <w:rPr>
          <w:rStyle w:val="FootnoteReference"/>
          <w:rFonts w:ascii="Verdana" w:hAnsi="Verdana"/>
          <w:sz w:val="36"/>
          <w:szCs w:val="36"/>
        </w:rPr>
        <w:footnoteReference w:id="5"/>
      </w:r>
      <w:r w:rsidRPr="00EF1AA1">
        <w:rPr>
          <w:rFonts w:ascii="Verdana" w:hAnsi="Verdana"/>
          <w:sz w:val="36"/>
          <w:szCs w:val="36"/>
        </w:rPr>
        <w:t xml:space="preserve"> The UN Human Rights Committee have identified in a recent analysis that any restriction upon rights must be “appropriate to achieve their protective function; they must be the least intrusive instrument amongst those which might achieve their protective function; they must be proportionate to the interest to be protected”.</w:t>
      </w:r>
      <w:r w:rsidRPr="00EF1AA1">
        <w:rPr>
          <w:rStyle w:val="FootnoteReference"/>
          <w:rFonts w:ascii="Verdana" w:hAnsi="Verdana"/>
          <w:sz w:val="36"/>
          <w:szCs w:val="36"/>
        </w:rPr>
        <w:footnoteReference w:id="6"/>
      </w:r>
      <w:r w:rsidR="000D3AB4" w:rsidRPr="00EF1AA1">
        <w:rPr>
          <w:rFonts w:ascii="Verdana" w:hAnsi="Verdana"/>
          <w:sz w:val="36"/>
          <w:szCs w:val="36"/>
        </w:rPr>
        <w:t xml:space="preserve"> Accordingly, with regard to this issue of the deferral of MSM, seeking to retain the status quo on the grounds of the protection of public health must be accompanied by a compelling argument as to its necessity and proportionality in the face of current scientific evidence. </w:t>
      </w:r>
    </w:p>
    <w:p w:rsidR="000D4E49" w:rsidRPr="00EF1AA1" w:rsidRDefault="000D4E49" w:rsidP="000D4E49">
      <w:pPr>
        <w:jc w:val="both"/>
        <w:rPr>
          <w:rFonts w:ascii="Verdana" w:hAnsi="Verdana"/>
          <w:sz w:val="36"/>
          <w:szCs w:val="36"/>
        </w:rPr>
      </w:pPr>
    </w:p>
    <w:p w:rsidR="00331E20" w:rsidRPr="00EF1AA1" w:rsidRDefault="00331E20" w:rsidP="000D4E49">
      <w:pPr>
        <w:jc w:val="both"/>
        <w:rPr>
          <w:rFonts w:ascii="Verdana" w:hAnsi="Verdana"/>
          <w:sz w:val="36"/>
          <w:szCs w:val="36"/>
        </w:rPr>
      </w:pPr>
    </w:p>
    <w:p w:rsidR="000D3AB4" w:rsidRPr="00EF1AA1" w:rsidRDefault="000D3AB4" w:rsidP="000D4E49">
      <w:pPr>
        <w:jc w:val="both"/>
        <w:rPr>
          <w:rFonts w:ascii="Verdana" w:hAnsi="Verdana"/>
          <w:b/>
          <w:sz w:val="36"/>
          <w:szCs w:val="36"/>
        </w:rPr>
      </w:pPr>
      <w:r w:rsidRPr="00EF1AA1">
        <w:rPr>
          <w:rFonts w:ascii="Verdana" w:hAnsi="Verdana"/>
          <w:b/>
          <w:sz w:val="36"/>
          <w:szCs w:val="36"/>
        </w:rPr>
        <w:t xml:space="preserve">European Union </w:t>
      </w:r>
      <w:r w:rsidR="007535AF" w:rsidRPr="00EF1AA1">
        <w:rPr>
          <w:rFonts w:ascii="Verdana" w:hAnsi="Verdana"/>
          <w:b/>
          <w:sz w:val="36"/>
          <w:szCs w:val="36"/>
        </w:rPr>
        <w:t>Law</w:t>
      </w:r>
    </w:p>
    <w:p w:rsidR="000D3AB4" w:rsidRPr="00EF1AA1" w:rsidRDefault="000D3AB4" w:rsidP="000D4E49">
      <w:pPr>
        <w:jc w:val="both"/>
        <w:rPr>
          <w:rFonts w:ascii="Verdana" w:hAnsi="Verdana"/>
          <w:sz w:val="36"/>
          <w:szCs w:val="36"/>
        </w:rPr>
      </w:pPr>
    </w:p>
    <w:p w:rsidR="00776BD1" w:rsidRPr="00EF1AA1" w:rsidRDefault="000D3AB4" w:rsidP="000D4E49">
      <w:pPr>
        <w:jc w:val="both"/>
        <w:rPr>
          <w:rFonts w:ascii="Verdana" w:hAnsi="Verdana"/>
          <w:sz w:val="36"/>
          <w:szCs w:val="36"/>
        </w:rPr>
      </w:pPr>
      <w:r w:rsidRPr="00EF1AA1">
        <w:rPr>
          <w:rFonts w:ascii="Verdana" w:hAnsi="Verdana"/>
          <w:sz w:val="36"/>
          <w:szCs w:val="36"/>
        </w:rPr>
        <w:t>T</w:t>
      </w:r>
      <w:r w:rsidR="000D4E49" w:rsidRPr="00EF1AA1">
        <w:rPr>
          <w:rFonts w:ascii="Verdana" w:hAnsi="Verdana"/>
          <w:sz w:val="36"/>
          <w:szCs w:val="36"/>
        </w:rPr>
        <w:t>he U</w:t>
      </w:r>
      <w:r w:rsidRPr="00EF1AA1">
        <w:rPr>
          <w:rFonts w:ascii="Verdana" w:hAnsi="Verdana"/>
          <w:sz w:val="36"/>
          <w:szCs w:val="36"/>
        </w:rPr>
        <w:t xml:space="preserve">nited </w:t>
      </w:r>
      <w:r w:rsidR="000D4E49" w:rsidRPr="00EF1AA1">
        <w:rPr>
          <w:rFonts w:ascii="Verdana" w:hAnsi="Verdana"/>
          <w:sz w:val="36"/>
          <w:szCs w:val="36"/>
        </w:rPr>
        <w:t>K</w:t>
      </w:r>
      <w:r w:rsidRPr="00EF1AA1">
        <w:rPr>
          <w:rFonts w:ascii="Verdana" w:hAnsi="Verdana"/>
          <w:sz w:val="36"/>
          <w:szCs w:val="36"/>
        </w:rPr>
        <w:t>ingdom</w:t>
      </w:r>
      <w:r w:rsidR="000D4E49" w:rsidRPr="00EF1AA1">
        <w:rPr>
          <w:rFonts w:ascii="Verdana" w:hAnsi="Verdana"/>
          <w:sz w:val="36"/>
          <w:szCs w:val="36"/>
        </w:rPr>
        <w:t xml:space="preserve">, including the Northern Ireland </w:t>
      </w:r>
      <w:r w:rsidRPr="00EF1AA1">
        <w:rPr>
          <w:rFonts w:ascii="Verdana" w:hAnsi="Verdana"/>
          <w:sz w:val="36"/>
          <w:szCs w:val="36"/>
        </w:rPr>
        <w:t>Executive</w:t>
      </w:r>
      <w:r w:rsidR="000D4E49" w:rsidRPr="00EF1AA1">
        <w:rPr>
          <w:rFonts w:ascii="Verdana" w:hAnsi="Verdana"/>
          <w:sz w:val="36"/>
          <w:szCs w:val="36"/>
        </w:rPr>
        <w:t xml:space="preserve">, is required to implement EU Directives, although the means by which this is done is decided by the government itself. </w:t>
      </w:r>
      <w:r w:rsidR="00776BD1" w:rsidRPr="00EF1AA1">
        <w:rPr>
          <w:rFonts w:ascii="Verdana" w:hAnsi="Verdana"/>
          <w:sz w:val="36"/>
          <w:szCs w:val="36"/>
        </w:rPr>
        <w:t>The Committee is under a duty to comply with the framework of European Union Law</w:t>
      </w:r>
      <w:r w:rsidR="00331E20" w:rsidRPr="00EF1AA1">
        <w:rPr>
          <w:rFonts w:ascii="Verdana" w:hAnsi="Verdana"/>
          <w:sz w:val="36"/>
          <w:szCs w:val="36"/>
        </w:rPr>
        <w:t xml:space="preserve"> but must also take into consideration its obligations under Human Rights law</w:t>
      </w:r>
      <w:r w:rsidR="00776BD1" w:rsidRPr="00EF1AA1">
        <w:rPr>
          <w:rFonts w:ascii="Verdana" w:hAnsi="Verdana"/>
          <w:sz w:val="36"/>
          <w:szCs w:val="36"/>
        </w:rPr>
        <w:t xml:space="preserve">. </w:t>
      </w:r>
    </w:p>
    <w:p w:rsidR="00776BD1" w:rsidRPr="00EF1AA1" w:rsidRDefault="00776BD1" w:rsidP="000D4E49">
      <w:pPr>
        <w:jc w:val="both"/>
        <w:rPr>
          <w:rFonts w:ascii="Verdana" w:hAnsi="Verdana"/>
          <w:sz w:val="36"/>
          <w:szCs w:val="36"/>
        </w:rPr>
      </w:pPr>
    </w:p>
    <w:p w:rsidR="00776BD1" w:rsidRPr="00EF1AA1" w:rsidRDefault="000D4E49" w:rsidP="000D4E49">
      <w:pPr>
        <w:jc w:val="both"/>
        <w:rPr>
          <w:rFonts w:ascii="Verdana" w:hAnsi="Verdana"/>
          <w:sz w:val="36"/>
          <w:szCs w:val="36"/>
        </w:rPr>
      </w:pPr>
      <w:r w:rsidRPr="00EF1AA1">
        <w:rPr>
          <w:rFonts w:ascii="Verdana" w:hAnsi="Verdana"/>
          <w:sz w:val="36"/>
          <w:szCs w:val="36"/>
        </w:rPr>
        <w:t>C</w:t>
      </w:r>
      <w:r w:rsidR="000D3AB4" w:rsidRPr="00EF1AA1">
        <w:rPr>
          <w:rFonts w:ascii="Verdana" w:hAnsi="Verdana"/>
          <w:sz w:val="36"/>
          <w:szCs w:val="36"/>
        </w:rPr>
        <w:t>ommission Directive 2004/33/EC</w:t>
      </w:r>
      <w:r w:rsidR="00776BD1" w:rsidRPr="00EF1AA1">
        <w:rPr>
          <w:rStyle w:val="FootnoteReference"/>
          <w:rFonts w:ascii="Verdana" w:hAnsi="Verdana"/>
          <w:sz w:val="36"/>
          <w:szCs w:val="36"/>
        </w:rPr>
        <w:footnoteReference w:id="7"/>
      </w:r>
      <w:r w:rsidR="000D3AB4" w:rsidRPr="00EF1AA1">
        <w:rPr>
          <w:rFonts w:ascii="Verdana" w:hAnsi="Verdana"/>
          <w:sz w:val="36"/>
          <w:szCs w:val="36"/>
        </w:rPr>
        <w:t xml:space="preserve"> </w:t>
      </w:r>
      <w:proofErr w:type="gramStart"/>
      <w:r w:rsidRPr="00EF1AA1">
        <w:rPr>
          <w:rFonts w:ascii="Verdana" w:hAnsi="Verdana"/>
          <w:sz w:val="36"/>
          <w:szCs w:val="36"/>
        </w:rPr>
        <w:t>governs</w:t>
      </w:r>
      <w:proofErr w:type="gramEnd"/>
      <w:r w:rsidRPr="00EF1AA1">
        <w:rPr>
          <w:rFonts w:ascii="Verdana" w:hAnsi="Verdana"/>
          <w:sz w:val="36"/>
          <w:szCs w:val="36"/>
        </w:rPr>
        <w:t xml:space="preserve"> the eligibility criteria for blood donors and was implemented locally by the Blood Safety and Quality Regulations 2005. The </w:t>
      </w:r>
      <w:r w:rsidR="00776BD1" w:rsidRPr="00EF1AA1">
        <w:rPr>
          <w:rFonts w:ascii="Verdana" w:hAnsi="Verdana"/>
          <w:sz w:val="36"/>
          <w:szCs w:val="36"/>
        </w:rPr>
        <w:t>D</w:t>
      </w:r>
      <w:r w:rsidRPr="00EF1AA1">
        <w:rPr>
          <w:rFonts w:ascii="Verdana" w:hAnsi="Verdana"/>
          <w:sz w:val="36"/>
          <w:szCs w:val="36"/>
        </w:rPr>
        <w:t>irective refers to a permanent deferral for persons “whose sexual behaviour puts them at a high risk of acquiring severe infectious diseases that can be transmitted by blood”.</w:t>
      </w:r>
      <w:r w:rsidR="00776BD1" w:rsidRPr="00EF1AA1">
        <w:rPr>
          <w:rStyle w:val="FootnoteReference"/>
          <w:rFonts w:ascii="Verdana" w:hAnsi="Verdana"/>
          <w:sz w:val="36"/>
          <w:szCs w:val="36"/>
        </w:rPr>
        <w:footnoteReference w:id="8"/>
      </w:r>
      <w:r w:rsidR="00776BD1" w:rsidRPr="00EF1AA1">
        <w:rPr>
          <w:rFonts w:ascii="Verdana" w:hAnsi="Verdana"/>
          <w:sz w:val="36"/>
          <w:szCs w:val="36"/>
        </w:rPr>
        <w:t xml:space="preserve"> No definition of sexual behaviour is expressed within the text of the Directive nor the Blood Safety and Quality Regulations 2005.</w:t>
      </w:r>
    </w:p>
    <w:p w:rsidR="00776BD1" w:rsidRPr="00EF1AA1" w:rsidRDefault="00776BD1" w:rsidP="000D4E49">
      <w:pPr>
        <w:jc w:val="both"/>
        <w:rPr>
          <w:rFonts w:ascii="Verdana" w:hAnsi="Verdana"/>
          <w:sz w:val="36"/>
          <w:szCs w:val="36"/>
        </w:rPr>
      </w:pPr>
    </w:p>
    <w:p w:rsidR="000D4E49" w:rsidRPr="00EF1AA1" w:rsidRDefault="000D4E49" w:rsidP="000D4E49">
      <w:pPr>
        <w:jc w:val="both"/>
        <w:rPr>
          <w:rFonts w:ascii="Verdana" w:hAnsi="Verdana"/>
          <w:sz w:val="36"/>
          <w:szCs w:val="36"/>
        </w:rPr>
      </w:pPr>
      <w:r w:rsidRPr="00EF1AA1">
        <w:rPr>
          <w:rFonts w:ascii="Verdana" w:hAnsi="Verdana"/>
          <w:sz w:val="36"/>
          <w:szCs w:val="36"/>
        </w:rPr>
        <w:t>The European Commissioner for Health and Consumer Policy has distinguished sexual beh</w:t>
      </w:r>
      <w:r w:rsidR="008E0D38" w:rsidRPr="00EF1AA1">
        <w:rPr>
          <w:rFonts w:ascii="Verdana" w:hAnsi="Verdana"/>
          <w:sz w:val="36"/>
          <w:szCs w:val="36"/>
        </w:rPr>
        <w:t>aviour from sexual orientation</w:t>
      </w:r>
      <w:r w:rsidR="00331E20" w:rsidRPr="00EF1AA1">
        <w:rPr>
          <w:rFonts w:ascii="Verdana" w:hAnsi="Verdana"/>
          <w:sz w:val="36"/>
          <w:szCs w:val="36"/>
        </w:rPr>
        <w:t>.</w:t>
      </w:r>
      <w:r w:rsidR="00F5646C" w:rsidRPr="00EF1AA1">
        <w:rPr>
          <w:rStyle w:val="FootnoteReference"/>
          <w:rFonts w:ascii="Verdana" w:hAnsi="Verdana"/>
          <w:sz w:val="36"/>
          <w:szCs w:val="36"/>
        </w:rPr>
        <w:footnoteReference w:id="9"/>
      </w:r>
      <w:r w:rsidR="008E0D38" w:rsidRPr="00EF1AA1">
        <w:rPr>
          <w:rFonts w:ascii="Verdana" w:hAnsi="Verdana"/>
          <w:sz w:val="36"/>
          <w:szCs w:val="36"/>
        </w:rPr>
        <w:t xml:space="preserve"> </w:t>
      </w:r>
      <w:r w:rsidR="00A722DD" w:rsidRPr="00EF1AA1">
        <w:rPr>
          <w:rFonts w:ascii="Verdana" w:hAnsi="Verdana"/>
          <w:sz w:val="36"/>
          <w:szCs w:val="36"/>
        </w:rPr>
        <w:t>This directive alone</w:t>
      </w:r>
      <w:r w:rsidRPr="00EF1AA1">
        <w:rPr>
          <w:rFonts w:ascii="Verdana" w:hAnsi="Verdana"/>
          <w:sz w:val="36"/>
          <w:szCs w:val="36"/>
        </w:rPr>
        <w:t xml:space="preserve"> </w:t>
      </w:r>
      <w:r w:rsidR="00A722DD" w:rsidRPr="00EF1AA1">
        <w:rPr>
          <w:rFonts w:ascii="Verdana" w:hAnsi="Verdana"/>
          <w:sz w:val="36"/>
          <w:szCs w:val="36"/>
        </w:rPr>
        <w:t>cannot</w:t>
      </w:r>
      <w:r w:rsidRPr="00EF1AA1">
        <w:rPr>
          <w:rFonts w:ascii="Verdana" w:hAnsi="Verdana"/>
          <w:sz w:val="36"/>
          <w:szCs w:val="36"/>
        </w:rPr>
        <w:t xml:space="preserve"> be relied upon to justify a blanket ban on MSM deferral as it may not be proportionate t</w:t>
      </w:r>
      <w:r w:rsidR="00A722DD" w:rsidRPr="00EF1AA1">
        <w:rPr>
          <w:rFonts w:ascii="Verdana" w:hAnsi="Verdana"/>
          <w:sz w:val="36"/>
          <w:szCs w:val="36"/>
        </w:rPr>
        <w:t xml:space="preserve">o the legitimate aim intended. </w:t>
      </w:r>
      <w:r w:rsidRPr="00EF1AA1">
        <w:rPr>
          <w:rFonts w:ascii="Verdana" w:hAnsi="Verdana"/>
          <w:sz w:val="36"/>
          <w:szCs w:val="36"/>
        </w:rPr>
        <w:t>He further affi</w:t>
      </w:r>
      <w:r w:rsidR="00C9578D" w:rsidRPr="00EF1AA1">
        <w:rPr>
          <w:rFonts w:ascii="Verdana" w:hAnsi="Verdana"/>
          <w:sz w:val="36"/>
          <w:szCs w:val="36"/>
        </w:rPr>
        <w:t>rmed the need to adhere to non-</w:t>
      </w:r>
      <w:r w:rsidRPr="00EF1AA1">
        <w:rPr>
          <w:rFonts w:ascii="Verdana" w:hAnsi="Verdana"/>
          <w:sz w:val="36"/>
          <w:szCs w:val="36"/>
        </w:rPr>
        <w:t>discrimination rights under Article 21(1) of the European Union Charter of Fundamental Rights which states that;</w:t>
      </w:r>
    </w:p>
    <w:p w:rsidR="00F5646C" w:rsidRPr="00EF1AA1" w:rsidRDefault="00F5646C" w:rsidP="000D4E49">
      <w:pPr>
        <w:jc w:val="both"/>
        <w:rPr>
          <w:rFonts w:ascii="Verdana" w:hAnsi="Verdana"/>
          <w:sz w:val="36"/>
          <w:szCs w:val="36"/>
        </w:rPr>
      </w:pPr>
    </w:p>
    <w:p w:rsidR="00F5646C" w:rsidRPr="00EF1AA1" w:rsidRDefault="00F5646C" w:rsidP="00F5646C">
      <w:pPr>
        <w:autoSpaceDE w:val="0"/>
        <w:autoSpaceDN w:val="0"/>
        <w:adjustRightInd w:val="0"/>
        <w:ind w:left="680" w:right="680"/>
        <w:jc w:val="both"/>
        <w:rPr>
          <w:rFonts w:ascii="Verdana" w:hAnsi="Verdana" w:cs="Calibri"/>
          <w:sz w:val="36"/>
          <w:szCs w:val="36"/>
        </w:rPr>
      </w:pPr>
      <w:r w:rsidRPr="00EF1AA1">
        <w:rPr>
          <w:rFonts w:ascii="Verdana" w:hAnsi="Verdana" w:cs="Calibri"/>
          <w:sz w:val="36"/>
          <w:szCs w:val="36"/>
        </w:rPr>
        <w:t xml:space="preserve">Any discrimination based on any ground such as sex, race, colour, </w:t>
      </w:r>
      <w:r w:rsidRPr="00EF1AA1">
        <w:rPr>
          <w:rFonts w:ascii="Verdana" w:hAnsi="Verdana" w:cs="Calibri"/>
          <w:sz w:val="36"/>
          <w:szCs w:val="36"/>
        </w:rPr>
        <w:lastRenderedPageBreak/>
        <w:t>ethnic or social origin, genetic features, language, religion or belief, political or any other opinion, membership of a national minority, property, birth, disability, age or sexual orientation shall be prohibited.</w:t>
      </w:r>
    </w:p>
    <w:p w:rsidR="00F5646C" w:rsidRPr="00EF1AA1" w:rsidRDefault="00F5646C" w:rsidP="000D4E49">
      <w:pPr>
        <w:jc w:val="both"/>
        <w:rPr>
          <w:rFonts w:ascii="Verdana" w:hAnsi="Verdana"/>
          <w:sz w:val="36"/>
          <w:szCs w:val="36"/>
        </w:rPr>
      </w:pPr>
    </w:p>
    <w:p w:rsidR="00A722DD" w:rsidRPr="00EF1AA1" w:rsidRDefault="00A722DD" w:rsidP="00A722DD">
      <w:pPr>
        <w:jc w:val="both"/>
        <w:rPr>
          <w:rFonts w:ascii="Verdana" w:hAnsi="Verdana"/>
          <w:sz w:val="36"/>
          <w:szCs w:val="36"/>
        </w:rPr>
      </w:pPr>
    </w:p>
    <w:p w:rsidR="00A722DD" w:rsidRPr="00EF1AA1" w:rsidRDefault="007535AF" w:rsidP="00A722DD">
      <w:pPr>
        <w:jc w:val="both"/>
        <w:rPr>
          <w:rFonts w:ascii="Verdana" w:hAnsi="Verdana"/>
          <w:b/>
          <w:sz w:val="36"/>
          <w:szCs w:val="36"/>
        </w:rPr>
      </w:pPr>
      <w:r w:rsidRPr="00EF1AA1">
        <w:rPr>
          <w:rFonts w:ascii="Verdana" w:hAnsi="Verdana"/>
          <w:b/>
          <w:sz w:val="36"/>
          <w:szCs w:val="36"/>
        </w:rPr>
        <w:t>Impact of Permanent Deferral</w:t>
      </w:r>
      <w:r w:rsidR="00A722DD" w:rsidRPr="00EF1AA1">
        <w:rPr>
          <w:rFonts w:ascii="Verdana" w:hAnsi="Verdana"/>
          <w:b/>
          <w:sz w:val="36"/>
          <w:szCs w:val="36"/>
        </w:rPr>
        <w:t xml:space="preserve"> </w:t>
      </w:r>
    </w:p>
    <w:p w:rsidR="00A722DD" w:rsidRPr="00EF1AA1" w:rsidRDefault="00A722DD" w:rsidP="00A722DD">
      <w:pPr>
        <w:jc w:val="both"/>
        <w:rPr>
          <w:rFonts w:ascii="Verdana" w:hAnsi="Verdana"/>
          <w:b/>
          <w:sz w:val="36"/>
          <w:szCs w:val="36"/>
        </w:rPr>
      </w:pPr>
    </w:p>
    <w:p w:rsidR="00A722DD" w:rsidRPr="00EF1AA1" w:rsidRDefault="00A722DD" w:rsidP="00A722DD">
      <w:pPr>
        <w:jc w:val="both"/>
        <w:rPr>
          <w:rFonts w:ascii="Verdana" w:hAnsi="Verdana"/>
          <w:sz w:val="36"/>
          <w:szCs w:val="36"/>
        </w:rPr>
      </w:pPr>
      <w:r w:rsidRPr="00EF1AA1">
        <w:rPr>
          <w:rFonts w:ascii="Verdana" w:hAnsi="Verdana"/>
          <w:sz w:val="36"/>
          <w:szCs w:val="36"/>
        </w:rPr>
        <w:t>The potential for serious human rights impact for the members of a marginalised community in Northern Ireland must be considered when examining the deferral of MSM.  The decision to retain permanent deferral risks further stigmatisation and marginalisation for the Lesbian, Gay, Bisexual and Transgender community as a whole, with the possibility of further exposure to prejudice and discrimination. In Northern Ireland, the prevalence of homophobic crime is well documented by the PSNI and the rate of reported incidents has risen from 2009-10 to 2010-11 by 20.6%.  Transphobic incidents have also risen from 14 in 2009-10 to 22 in 2010-11. Under reporting of such incidents has also been estimated at 64% in a study done by the Rainbow Project in 2009.</w:t>
      </w:r>
    </w:p>
    <w:p w:rsidR="00A722DD" w:rsidRPr="00EF1AA1" w:rsidRDefault="00A722DD" w:rsidP="009D6F2E">
      <w:pPr>
        <w:jc w:val="both"/>
        <w:rPr>
          <w:rFonts w:ascii="Verdana" w:hAnsi="Verdana"/>
          <w:b/>
          <w:sz w:val="36"/>
          <w:szCs w:val="36"/>
        </w:rPr>
      </w:pPr>
    </w:p>
    <w:p w:rsidR="00A722DD" w:rsidRPr="00EF1AA1" w:rsidRDefault="00A722DD" w:rsidP="009D6F2E">
      <w:pPr>
        <w:jc w:val="both"/>
        <w:rPr>
          <w:rFonts w:ascii="Verdana" w:hAnsi="Verdana"/>
          <w:b/>
          <w:sz w:val="36"/>
          <w:szCs w:val="36"/>
        </w:rPr>
      </w:pPr>
    </w:p>
    <w:p w:rsidR="00A722DD" w:rsidRPr="00EF1AA1" w:rsidRDefault="007535AF" w:rsidP="00A722DD">
      <w:pPr>
        <w:jc w:val="both"/>
        <w:rPr>
          <w:rFonts w:ascii="Verdana" w:hAnsi="Verdana"/>
          <w:b/>
          <w:sz w:val="36"/>
          <w:szCs w:val="36"/>
        </w:rPr>
      </w:pPr>
      <w:r w:rsidRPr="00EF1AA1">
        <w:rPr>
          <w:rFonts w:ascii="Verdana" w:hAnsi="Verdana"/>
          <w:b/>
          <w:sz w:val="36"/>
          <w:szCs w:val="36"/>
        </w:rPr>
        <w:lastRenderedPageBreak/>
        <w:t>Conclusion</w:t>
      </w:r>
      <w:r w:rsidR="00A722DD" w:rsidRPr="00EF1AA1">
        <w:rPr>
          <w:rFonts w:ascii="Verdana" w:hAnsi="Verdana"/>
          <w:b/>
          <w:sz w:val="36"/>
          <w:szCs w:val="36"/>
        </w:rPr>
        <w:t xml:space="preserve"> </w:t>
      </w:r>
    </w:p>
    <w:p w:rsidR="00A722DD" w:rsidRPr="00EF1AA1" w:rsidRDefault="00A722DD" w:rsidP="00A722DD">
      <w:pPr>
        <w:jc w:val="both"/>
        <w:rPr>
          <w:rFonts w:ascii="Verdana" w:hAnsi="Verdana"/>
          <w:b/>
          <w:sz w:val="36"/>
          <w:szCs w:val="36"/>
        </w:rPr>
      </w:pPr>
      <w:r w:rsidRPr="00EF1AA1">
        <w:rPr>
          <w:rFonts w:ascii="Verdana" w:hAnsi="Verdana"/>
          <w:b/>
          <w:sz w:val="36"/>
          <w:szCs w:val="36"/>
        </w:rPr>
        <w:t xml:space="preserve"> </w:t>
      </w:r>
      <w:bookmarkStart w:id="0" w:name="_GoBack"/>
      <w:bookmarkEnd w:id="0"/>
    </w:p>
    <w:p w:rsidR="00386611" w:rsidRPr="00EF1AA1" w:rsidRDefault="00A722DD" w:rsidP="00A722DD">
      <w:pPr>
        <w:jc w:val="both"/>
        <w:rPr>
          <w:rFonts w:ascii="Verdana" w:hAnsi="Verdana"/>
          <w:sz w:val="36"/>
          <w:szCs w:val="36"/>
        </w:rPr>
      </w:pPr>
      <w:r w:rsidRPr="00EF1AA1">
        <w:rPr>
          <w:rFonts w:ascii="Verdana" w:hAnsi="Verdana"/>
          <w:sz w:val="36"/>
          <w:szCs w:val="36"/>
        </w:rPr>
        <w:t xml:space="preserve">In order to fulfil its legal obligations under human rights law, the Committee must consider the negative impact on gay men by banning donation of blood against the actual level of risk to the general public in receiving such blood. </w:t>
      </w:r>
      <w:r w:rsidR="00386611" w:rsidRPr="00EF1AA1">
        <w:rPr>
          <w:rFonts w:ascii="Verdana" w:hAnsi="Verdana"/>
          <w:sz w:val="36"/>
          <w:szCs w:val="36"/>
        </w:rPr>
        <w:t xml:space="preserve">Any decision to retain the lifetime deferral for MSM must be both proportionate and necessary. </w:t>
      </w:r>
    </w:p>
    <w:p w:rsidR="00A722DD" w:rsidRPr="00EF1AA1" w:rsidRDefault="00A722DD" w:rsidP="009D6F2E">
      <w:pPr>
        <w:jc w:val="both"/>
        <w:rPr>
          <w:rFonts w:ascii="Verdana" w:hAnsi="Verdana"/>
          <w:b/>
          <w:sz w:val="36"/>
          <w:szCs w:val="36"/>
        </w:rPr>
      </w:pPr>
    </w:p>
    <w:p w:rsidR="007535AF" w:rsidRPr="00EF1AA1" w:rsidRDefault="007535AF" w:rsidP="009D6F2E">
      <w:pPr>
        <w:jc w:val="both"/>
        <w:rPr>
          <w:rFonts w:ascii="Verdana" w:hAnsi="Verdana"/>
          <w:b/>
          <w:sz w:val="36"/>
          <w:szCs w:val="36"/>
        </w:rPr>
      </w:pPr>
    </w:p>
    <w:p w:rsidR="007535AF" w:rsidRPr="00EF1AA1" w:rsidRDefault="007535AF" w:rsidP="007535AF">
      <w:pPr>
        <w:autoSpaceDE w:val="0"/>
        <w:autoSpaceDN w:val="0"/>
        <w:adjustRightInd w:val="0"/>
        <w:jc w:val="right"/>
        <w:rPr>
          <w:rFonts w:ascii="Verdana" w:hAnsi="Verdana" w:cs="Verdana"/>
          <w:color w:val="000000"/>
          <w:sz w:val="36"/>
          <w:szCs w:val="36"/>
        </w:rPr>
      </w:pPr>
      <w:r w:rsidRPr="00EF1AA1">
        <w:rPr>
          <w:rFonts w:ascii="Verdana" w:hAnsi="Verdana" w:cs="Verdana"/>
          <w:b/>
          <w:bCs/>
          <w:color w:val="000000"/>
          <w:sz w:val="36"/>
          <w:szCs w:val="36"/>
        </w:rPr>
        <w:t xml:space="preserve">June 2012 </w:t>
      </w:r>
    </w:p>
    <w:p w:rsidR="007535AF" w:rsidRPr="00EF1AA1" w:rsidRDefault="007535AF" w:rsidP="007535AF">
      <w:pPr>
        <w:autoSpaceDE w:val="0"/>
        <w:autoSpaceDN w:val="0"/>
        <w:adjustRightInd w:val="0"/>
        <w:spacing w:before="240" w:after="60"/>
        <w:jc w:val="right"/>
        <w:outlineLvl w:val="0"/>
        <w:rPr>
          <w:rFonts w:ascii="Verdana" w:hAnsi="Verdana" w:cs="Verdana"/>
          <w:color w:val="000000"/>
          <w:sz w:val="36"/>
          <w:szCs w:val="36"/>
        </w:rPr>
      </w:pPr>
      <w:r w:rsidRPr="00EF1AA1">
        <w:rPr>
          <w:rFonts w:ascii="Verdana" w:hAnsi="Verdana" w:cs="Verdana"/>
          <w:b/>
          <w:bCs/>
          <w:color w:val="000000"/>
          <w:sz w:val="36"/>
          <w:szCs w:val="36"/>
        </w:rPr>
        <w:t xml:space="preserve">Northern Ireland Human Rights Commission </w:t>
      </w:r>
    </w:p>
    <w:p w:rsidR="007535AF" w:rsidRPr="00EF1AA1" w:rsidRDefault="007535AF" w:rsidP="007535AF">
      <w:pPr>
        <w:autoSpaceDE w:val="0"/>
        <w:autoSpaceDN w:val="0"/>
        <w:adjustRightInd w:val="0"/>
        <w:ind w:left="360"/>
        <w:jc w:val="right"/>
        <w:rPr>
          <w:rFonts w:ascii="Verdana" w:hAnsi="Verdana" w:cs="Verdana"/>
          <w:color w:val="000000"/>
          <w:sz w:val="36"/>
          <w:szCs w:val="36"/>
        </w:rPr>
      </w:pPr>
      <w:r w:rsidRPr="00EF1AA1">
        <w:rPr>
          <w:rFonts w:ascii="Verdana" w:hAnsi="Verdana" w:cs="Verdana"/>
          <w:b/>
          <w:bCs/>
          <w:color w:val="000000"/>
          <w:sz w:val="36"/>
          <w:szCs w:val="36"/>
        </w:rPr>
        <w:t xml:space="preserve">Temple Court, 39 North Street </w:t>
      </w:r>
    </w:p>
    <w:p w:rsidR="007535AF" w:rsidRPr="00EF1AA1" w:rsidRDefault="007535AF" w:rsidP="007535AF">
      <w:pPr>
        <w:autoSpaceDE w:val="0"/>
        <w:autoSpaceDN w:val="0"/>
        <w:adjustRightInd w:val="0"/>
        <w:ind w:left="360"/>
        <w:jc w:val="right"/>
        <w:rPr>
          <w:rFonts w:ascii="Verdana" w:hAnsi="Verdana" w:cs="Verdana"/>
          <w:color w:val="000000"/>
          <w:sz w:val="36"/>
          <w:szCs w:val="36"/>
        </w:rPr>
      </w:pPr>
      <w:r w:rsidRPr="00EF1AA1">
        <w:rPr>
          <w:rFonts w:ascii="Verdana" w:hAnsi="Verdana" w:cs="Verdana"/>
          <w:b/>
          <w:bCs/>
          <w:color w:val="000000"/>
          <w:sz w:val="36"/>
          <w:szCs w:val="36"/>
        </w:rPr>
        <w:t xml:space="preserve">Belfast BT1 1NA </w:t>
      </w:r>
    </w:p>
    <w:p w:rsidR="007535AF" w:rsidRPr="00EF1AA1" w:rsidRDefault="007535AF" w:rsidP="007535AF">
      <w:pPr>
        <w:autoSpaceDE w:val="0"/>
        <w:autoSpaceDN w:val="0"/>
        <w:adjustRightInd w:val="0"/>
        <w:ind w:left="360"/>
        <w:jc w:val="right"/>
        <w:rPr>
          <w:rFonts w:ascii="Verdana" w:hAnsi="Verdana" w:cs="Verdana"/>
          <w:color w:val="000000"/>
          <w:sz w:val="36"/>
          <w:szCs w:val="36"/>
        </w:rPr>
      </w:pPr>
      <w:r w:rsidRPr="00EF1AA1">
        <w:rPr>
          <w:rFonts w:ascii="Verdana" w:hAnsi="Verdana" w:cs="Verdana"/>
          <w:b/>
          <w:bCs/>
          <w:color w:val="000000"/>
          <w:sz w:val="36"/>
          <w:szCs w:val="36"/>
        </w:rPr>
        <w:t xml:space="preserve">Tel: (028) 9024 3987 </w:t>
      </w:r>
    </w:p>
    <w:p w:rsidR="007535AF" w:rsidRPr="00EF1AA1" w:rsidRDefault="007535AF" w:rsidP="007535AF">
      <w:pPr>
        <w:autoSpaceDE w:val="0"/>
        <w:autoSpaceDN w:val="0"/>
        <w:adjustRightInd w:val="0"/>
        <w:ind w:left="360"/>
        <w:jc w:val="right"/>
        <w:rPr>
          <w:rFonts w:ascii="Verdana" w:hAnsi="Verdana" w:cs="Verdana"/>
          <w:color w:val="000000"/>
          <w:sz w:val="36"/>
          <w:szCs w:val="36"/>
        </w:rPr>
      </w:pPr>
      <w:proofErr w:type="spellStart"/>
      <w:r w:rsidRPr="00EF1AA1">
        <w:rPr>
          <w:rFonts w:ascii="Verdana" w:hAnsi="Verdana" w:cs="Verdana"/>
          <w:b/>
          <w:bCs/>
          <w:color w:val="000000"/>
          <w:sz w:val="36"/>
          <w:szCs w:val="36"/>
        </w:rPr>
        <w:t>Textphone</w:t>
      </w:r>
      <w:proofErr w:type="spellEnd"/>
      <w:r w:rsidRPr="00EF1AA1">
        <w:rPr>
          <w:rFonts w:ascii="Verdana" w:hAnsi="Verdana" w:cs="Verdana"/>
          <w:b/>
          <w:bCs/>
          <w:color w:val="000000"/>
          <w:sz w:val="36"/>
          <w:szCs w:val="36"/>
        </w:rPr>
        <w:t xml:space="preserve">: (028) 9024 9066 </w:t>
      </w:r>
    </w:p>
    <w:p w:rsidR="007535AF" w:rsidRPr="00EF1AA1" w:rsidRDefault="007535AF" w:rsidP="007535AF">
      <w:pPr>
        <w:autoSpaceDE w:val="0"/>
        <w:autoSpaceDN w:val="0"/>
        <w:adjustRightInd w:val="0"/>
        <w:ind w:left="360"/>
        <w:jc w:val="right"/>
        <w:rPr>
          <w:rFonts w:ascii="Verdana" w:hAnsi="Verdana" w:cs="Verdana"/>
          <w:color w:val="000000"/>
          <w:sz w:val="36"/>
          <w:szCs w:val="36"/>
        </w:rPr>
      </w:pPr>
      <w:r w:rsidRPr="00EF1AA1">
        <w:rPr>
          <w:rFonts w:ascii="Verdana" w:hAnsi="Verdana" w:cs="Verdana"/>
          <w:b/>
          <w:bCs/>
          <w:color w:val="000000"/>
          <w:sz w:val="36"/>
          <w:szCs w:val="36"/>
        </w:rPr>
        <w:t xml:space="preserve">SMS Text: 07786 202075 </w:t>
      </w:r>
    </w:p>
    <w:p w:rsidR="007535AF" w:rsidRPr="00EF1AA1" w:rsidRDefault="007535AF" w:rsidP="007535AF">
      <w:pPr>
        <w:autoSpaceDE w:val="0"/>
        <w:autoSpaceDN w:val="0"/>
        <w:adjustRightInd w:val="0"/>
        <w:ind w:left="360"/>
        <w:jc w:val="right"/>
        <w:rPr>
          <w:rFonts w:ascii="Verdana" w:hAnsi="Verdana" w:cs="Verdana"/>
          <w:color w:val="000000"/>
          <w:sz w:val="36"/>
          <w:szCs w:val="36"/>
        </w:rPr>
      </w:pPr>
      <w:r w:rsidRPr="00EF1AA1">
        <w:rPr>
          <w:rFonts w:ascii="Verdana" w:hAnsi="Verdana" w:cs="Verdana"/>
          <w:b/>
          <w:bCs/>
          <w:color w:val="000000"/>
          <w:sz w:val="36"/>
          <w:szCs w:val="36"/>
        </w:rPr>
        <w:t xml:space="preserve">Fax: (028) 9024 7844 </w:t>
      </w:r>
    </w:p>
    <w:p w:rsidR="007535AF" w:rsidRPr="00EF1AA1" w:rsidRDefault="007535AF" w:rsidP="007535AF">
      <w:pPr>
        <w:autoSpaceDE w:val="0"/>
        <w:autoSpaceDN w:val="0"/>
        <w:adjustRightInd w:val="0"/>
        <w:ind w:left="360"/>
        <w:jc w:val="right"/>
        <w:rPr>
          <w:rFonts w:ascii="Verdana" w:hAnsi="Verdana" w:cs="Verdana"/>
          <w:color w:val="000000"/>
          <w:sz w:val="36"/>
          <w:szCs w:val="36"/>
        </w:rPr>
      </w:pPr>
      <w:r w:rsidRPr="00EF1AA1">
        <w:rPr>
          <w:rFonts w:ascii="Verdana" w:hAnsi="Verdana" w:cs="Verdana"/>
          <w:b/>
          <w:bCs/>
          <w:color w:val="000000"/>
          <w:sz w:val="36"/>
          <w:szCs w:val="36"/>
        </w:rPr>
        <w:t xml:space="preserve">Email: information@nihrc.org </w:t>
      </w:r>
    </w:p>
    <w:p w:rsidR="007535AF" w:rsidRPr="00EF1AA1" w:rsidRDefault="007535AF" w:rsidP="007535AF">
      <w:pPr>
        <w:ind w:left="4320" w:firstLine="720"/>
        <w:jc w:val="both"/>
        <w:rPr>
          <w:rFonts w:ascii="Verdana" w:hAnsi="Verdana"/>
          <w:b/>
          <w:sz w:val="36"/>
          <w:szCs w:val="36"/>
        </w:rPr>
      </w:pPr>
      <w:r w:rsidRPr="00EF1AA1">
        <w:rPr>
          <w:rFonts w:ascii="Verdana" w:hAnsi="Verdana" w:cs="Verdana"/>
          <w:b/>
          <w:bCs/>
          <w:color w:val="000000"/>
          <w:sz w:val="36"/>
          <w:szCs w:val="36"/>
        </w:rPr>
        <w:t>Website: www.nihrc.org</w:t>
      </w:r>
    </w:p>
    <w:sectPr w:rsidR="007535AF" w:rsidRPr="00EF1AA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67A" w:rsidRDefault="0099667A" w:rsidP="009D6F2E">
      <w:r>
        <w:separator/>
      </w:r>
    </w:p>
  </w:endnote>
  <w:endnote w:type="continuationSeparator" w:id="0">
    <w:p w:rsidR="0099667A" w:rsidRDefault="0099667A" w:rsidP="009D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67A" w:rsidRDefault="0099667A" w:rsidP="009D6F2E">
      <w:r>
        <w:separator/>
      </w:r>
    </w:p>
  </w:footnote>
  <w:footnote w:type="continuationSeparator" w:id="0">
    <w:p w:rsidR="0099667A" w:rsidRDefault="0099667A" w:rsidP="009D6F2E">
      <w:r>
        <w:continuationSeparator/>
      </w:r>
    </w:p>
  </w:footnote>
  <w:footnote w:id="1">
    <w:p w:rsidR="009D6F2E" w:rsidRPr="008E0D38" w:rsidRDefault="009D6F2E" w:rsidP="00F5646C">
      <w:pPr>
        <w:pStyle w:val="Default"/>
        <w:jc w:val="both"/>
        <w:rPr>
          <w:sz w:val="20"/>
          <w:szCs w:val="20"/>
        </w:rPr>
      </w:pPr>
      <w:r w:rsidRPr="008E0D38">
        <w:rPr>
          <w:rStyle w:val="FootnoteReference"/>
          <w:sz w:val="20"/>
          <w:szCs w:val="20"/>
        </w:rPr>
        <w:footnoteRef/>
      </w:r>
      <w:r w:rsidRPr="008E0D38">
        <w:rPr>
          <w:sz w:val="20"/>
          <w:szCs w:val="20"/>
        </w:rPr>
        <w:t xml:space="preserve"> The Commission’s powers were modified by the Justice and Security (</w:t>
      </w:r>
      <w:smartTag w:uri="urn:schemas-microsoft-com:office:smarttags" w:element="place">
        <w:smartTag w:uri="urn:schemas-microsoft-com:office:smarttags" w:element="country-region">
          <w:r w:rsidRPr="008E0D38">
            <w:rPr>
              <w:sz w:val="20"/>
              <w:szCs w:val="20"/>
            </w:rPr>
            <w:t>Northern Ireland</w:t>
          </w:r>
        </w:smartTag>
      </w:smartTag>
      <w:r w:rsidRPr="008E0D38">
        <w:rPr>
          <w:sz w:val="20"/>
          <w:szCs w:val="20"/>
        </w:rPr>
        <w:t xml:space="preserve">) Act 2007.  </w:t>
      </w:r>
    </w:p>
  </w:footnote>
  <w:footnote w:id="2">
    <w:p w:rsidR="000D4E49" w:rsidRPr="008E0D38" w:rsidRDefault="000D4E49" w:rsidP="00F5646C">
      <w:pPr>
        <w:pStyle w:val="FootnoteText"/>
        <w:jc w:val="both"/>
        <w:rPr>
          <w:rFonts w:ascii="Verdana" w:hAnsi="Verdana"/>
        </w:rPr>
      </w:pPr>
      <w:r w:rsidRPr="008E0D38">
        <w:rPr>
          <w:rStyle w:val="FootnoteReference"/>
          <w:rFonts w:ascii="Verdana" w:hAnsi="Verdana"/>
        </w:rPr>
        <w:footnoteRef/>
      </w:r>
      <w:r w:rsidRPr="008E0D38">
        <w:rPr>
          <w:rFonts w:ascii="Verdana" w:hAnsi="Verdana"/>
        </w:rPr>
        <w:t xml:space="preserve"> </w:t>
      </w:r>
      <w:r w:rsidR="008E0D38" w:rsidRPr="008E0D38">
        <w:rPr>
          <w:rFonts w:ascii="Verdana" w:hAnsi="Verdana"/>
        </w:rPr>
        <w:t xml:space="preserve">Advisory Committee on the </w:t>
      </w:r>
      <w:r w:rsidRPr="008E0D38">
        <w:rPr>
          <w:rFonts w:ascii="Verdana" w:hAnsi="Verdana"/>
        </w:rPr>
        <w:t>Sa</w:t>
      </w:r>
      <w:r w:rsidR="008E0D38" w:rsidRPr="008E0D38">
        <w:rPr>
          <w:rFonts w:ascii="Verdana" w:hAnsi="Verdana"/>
        </w:rPr>
        <w:t xml:space="preserve">fety of </w:t>
      </w:r>
      <w:r w:rsidRPr="008E0D38">
        <w:rPr>
          <w:rFonts w:ascii="Verdana" w:hAnsi="Verdana"/>
        </w:rPr>
        <w:t>B</w:t>
      </w:r>
      <w:r w:rsidR="008E0D38" w:rsidRPr="008E0D38">
        <w:rPr>
          <w:rFonts w:ascii="Verdana" w:hAnsi="Verdana"/>
        </w:rPr>
        <w:t xml:space="preserve">lood, </w:t>
      </w:r>
      <w:r w:rsidRPr="008E0D38">
        <w:rPr>
          <w:rFonts w:ascii="Verdana" w:hAnsi="Verdana"/>
        </w:rPr>
        <w:t>T</w:t>
      </w:r>
      <w:r w:rsidR="008E0D38" w:rsidRPr="008E0D38">
        <w:rPr>
          <w:rFonts w:ascii="Verdana" w:hAnsi="Verdana"/>
        </w:rPr>
        <w:t xml:space="preserve">issues and </w:t>
      </w:r>
      <w:r w:rsidRPr="008E0D38">
        <w:rPr>
          <w:rFonts w:ascii="Verdana" w:hAnsi="Verdana"/>
        </w:rPr>
        <w:t>O</w:t>
      </w:r>
      <w:r w:rsidR="008E0D38">
        <w:rPr>
          <w:rFonts w:ascii="Verdana" w:hAnsi="Verdana"/>
        </w:rPr>
        <w:t>rgans (20</w:t>
      </w:r>
      <w:r w:rsidR="00776BD1">
        <w:rPr>
          <w:rFonts w:ascii="Verdana" w:hAnsi="Verdana"/>
        </w:rPr>
        <w:t>1</w:t>
      </w:r>
      <w:r w:rsidR="008E0D38">
        <w:rPr>
          <w:rFonts w:ascii="Verdana" w:hAnsi="Verdana"/>
        </w:rPr>
        <w:t>1) Donor Selection</w:t>
      </w:r>
      <w:r w:rsidR="008E0D38" w:rsidRPr="008E0D38">
        <w:rPr>
          <w:rFonts w:ascii="Verdana" w:hAnsi="Verdana"/>
        </w:rPr>
        <w:t xml:space="preserve"> Criteria Review</w:t>
      </w:r>
      <w:r w:rsidRPr="008E0D38">
        <w:rPr>
          <w:rFonts w:ascii="Verdana" w:hAnsi="Verdana"/>
        </w:rPr>
        <w:t>,</w:t>
      </w:r>
      <w:r w:rsidR="008E0D38">
        <w:rPr>
          <w:rFonts w:ascii="Verdana" w:hAnsi="Verdana"/>
        </w:rPr>
        <w:t xml:space="preserve"> at</w:t>
      </w:r>
      <w:r w:rsidRPr="008E0D38">
        <w:rPr>
          <w:rFonts w:ascii="Verdana" w:hAnsi="Verdana"/>
        </w:rPr>
        <w:t xml:space="preserve"> Appendix 1: Terms of Reference</w:t>
      </w:r>
    </w:p>
  </w:footnote>
  <w:footnote w:id="3">
    <w:p w:rsidR="008E0D38" w:rsidRDefault="008E0D38">
      <w:pPr>
        <w:pStyle w:val="FootnoteText"/>
      </w:pPr>
      <w:r w:rsidRPr="008E0D38">
        <w:rPr>
          <w:rStyle w:val="FootnoteReference"/>
          <w:rFonts w:ascii="Verdana" w:hAnsi="Verdana"/>
        </w:rPr>
        <w:footnoteRef/>
      </w:r>
      <w:r w:rsidRPr="008E0D38">
        <w:rPr>
          <w:rFonts w:ascii="Verdana" w:hAnsi="Verdana"/>
        </w:rPr>
        <w:t xml:space="preserve"> </w:t>
      </w:r>
      <w:r w:rsidRPr="008E0D38">
        <w:rPr>
          <w:rFonts w:ascii="Verdana" w:hAnsi="Verdana"/>
          <w:i/>
        </w:rPr>
        <w:t>Ibid</w:t>
      </w:r>
      <w:r w:rsidRPr="008E0D38">
        <w:rPr>
          <w:rFonts w:ascii="Verdana" w:hAnsi="Verdana"/>
        </w:rPr>
        <w:t>,</w:t>
      </w:r>
      <w:r>
        <w:rPr>
          <w:rFonts w:ascii="Verdana" w:hAnsi="Verdana"/>
        </w:rPr>
        <w:t xml:space="preserve"> at</w:t>
      </w:r>
      <w:r w:rsidRPr="008E0D38">
        <w:rPr>
          <w:rFonts w:ascii="Verdana" w:hAnsi="Verdana"/>
        </w:rPr>
        <w:t xml:space="preserve"> page 40</w:t>
      </w:r>
    </w:p>
  </w:footnote>
  <w:footnote w:id="4">
    <w:p w:rsidR="00794CE5" w:rsidRPr="00794CE5" w:rsidRDefault="00794CE5" w:rsidP="00F5646C">
      <w:pPr>
        <w:pStyle w:val="FootnoteText"/>
        <w:jc w:val="both"/>
        <w:rPr>
          <w:rFonts w:ascii="Verdana" w:hAnsi="Verdana"/>
        </w:rPr>
      </w:pPr>
      <w:r w:rsidRPr="00794CE5">
        <w:rPr>
          <w:rStyle w:val="FootnoteReference"/>
          <w:rFonts w:ascii="Verdana" w:hAnsi="Verdana"/>
        </w:rPr>
        <w:footnoteRef/>
      </w:r>
      <w:r w:rsidRPr="00794CE5">
        <w:rPr>
          <w:rFonts w:ascii="Verdana" w:hAnsi="Verdana"/>
        </w:rPr>
        <w:t xml:space="preserve"> </w:t>
      </w:r>
      <w:r w:rsidRPr="00794CE5">
        <w:rPr>
          <w:rFonts w:ascii="Verdana" w:hAnsi="Verdana" w:cs="Calibri"/>
          <w:i/>
        </w:rPr>
        <w:t xml:space="preserve">Toonen v </w:t>
      </w:r>
      <w:smartTag w:uri="urn:schemas-microsoft-com:office:smarttags" w:element="country-region">
        <w:smartTag w:uri="urn:schemas-microsoft-com:office:smarttags" w:element="place">
          <w:r w:rsidRPr="00794CE5">
            <w:rPr>
              <w:rFonts w:ascii="Verdana" w:hAnsi="Verdana" w:cs="Calibri"/>
              <w:i/>
            </w:rPr>
            <w:t>Australia</w:t>
          </w:r>
        </w:smartTag>
      </w:smartTag>
      <w:r w:rsidRPr="00794CE5">
        <w:rPr>
          <w:rFonts w:ascii="Verdana" w:hAnsi="Verdana" w:cs="Calibri"/>
        </w:rPr>
        <w:t xml:space="preserve"> (488/1992), CCPR/C/50/D/488/1992 (1994) at para 8.7</w:t>
      </w:r>
    </w:p>
  </w:footnote>
  <w:footnote w:id="5">
    <w:p w:rsidR="00794CE5" w:rsidRPr="00794CE5" w:rsidRDefault="00794CE5" w:rsidP="00F5646C">
      <w:pPr>
        <w:pStyle w:val="FootnoteText"/>
        <w:jc w:val="both"/>
        <w:rPr>
          <w:rFonts w:ascii="Verdana" w:hAnsi="Verdana"/>
        </w:rPr>
      </w:pPr>
      <w:r w:rsidRPr="00794CE5">
        <w:rPr>
          <w:rStyle w:val="FootnoteReference"/>
          <w:rFonts w:ascii="Verdana" w:hAnsi="Verdana"/>
        </w:rPr>
        <w:footnoteRef/>
      </w:r>
      <w:r w:rsidRPr="00794CE5">
        <w:rPr>
          <w:rFonts w:ascii="Verdana" w:hAnsi="Verdana"/>
        </w:rPr>
        <w:t xml:space="preserve"> </w:t>
      </w:r>
      <w:r w:rsidRPr="00794CE5">
        <w:rPr>
          <w:rFonts w:ascii="Verdana" w:hAnsi="Verdana"/>
          <w:i/>
        </w:rPr>
        <w:t>Ashingdane v. the United Kingdom</w:t>
      </w:r>
      <w:r w:rsidRPr="00794CE5">
        <w:rPr>
          <w:rFonts w:ascii="Verdana" w:hAnsi="Verdana"/>
        </w:rPr>
        <w:t xml:space="preserve"> [1985] ECHR 8, at para 57; see also UN Human Rights Committee, General Comment 34 (2011) on Article 19: Freedoms of Opinion and Expression, 102</w:t>
      </w:r>
      <w:r w:rsidRPr="00794CE5">
        <w:rPr>
          <w:rFonts w:ascii="Verdana" w:hAnsi="Verdana"/>
          <w:vertAlign w:val="superscript"/>
        </w:rPr>
        <w:t>nd</w:t>
      </w:r>
      <w:r w:rsidRPr="00794CE5">
        <w:rPr>
          <w:rFonts w:ascii="Verdana" w:hAnsi="Verdana"/>
        </w:rPr>
        <w:t xml:space="preserve"> Session, CCPR/C/GC/34, at para 35</w:t>
      </w:r>
    </w:p>
  </w:footnote>
  <w:footnote w:id="6">
    <w:p w:rsidR="00794CE5" w:rsidRDefault="00794CE5" w:rsidP="00F5646C">
      <w:pPr>
        <w:pStyle w:val="FootnoteText"/>
        <w:jc w:val="both"/>
      </w:pPr>
      <w:r>
        <w:rPr>
          <w:rStyle w:val="FootnoteReference"/>
        </w:rPr>
        <w:footnoteRef/>
      </w:r>
      <w:r>
        <w:t xml:space="preserve"> </w:t>
      </w:r>
      <w:r w:rsidRPr="00794CE5">
        <w:rPr>
          <w:rFonts w:ascii="Verdana" w:hAnsi="Verdana"/>
        </w:rPr>
        <w:t xml:space="preserve">UN Human Rights Committee, General Comment </w:t>
      </w:r>
      <w:r w:rsidR="000D3AB4">
        <w:rPr>
          <w:rFonts w:ascii="Verdana" w:hAnsi="Verdana"/>
        </w:rPr>
        <w:t>27</w:t>
      </w:r>
      <w:r w:rsidRPr="00794CE5">
        <w:rPr>
          <w:rFonts w:ascii="Verdana" w:hAnsi="Verdana"/>
        </w:rPr>
        <w:t xml:space="preserve"> (</w:t>
      </w:r>
      <w:r w:rsidR="000D3AB4">
        <w:rPr>
          <w:rFonts w:ascii="Verdana" w:hAnsi="Verdana"/>
        </w:rPr>
        <w:t>1999</w:t>
      </w:r>
      <w:r w:rsidRPr="00794CE5">
        <w:rPr>
          <w:rFonts w:ascii="Verdana" w:hAnsi="Verdana"/>
        </w:rPr>
        <w:t>)</w:t>
      </w:r>
      <w:r w:rsidR="000D3AB4">
        <w:rPr>
          <w:rFonts w:ascii="Verdana" w:hAnsi="Verdana"/>
        </w:rPr>
        <w:t xml:space="preserve"> on Freedom of Movement, CCPR/C/21/Rev.1/Add.9, at para 14</w:t>
      </w:r>
    </w:p>
  </w:footnote>
  <w:footnote w:id="7">
    <w:p w:rsidR="00776BD1" w:rsidRPr="00776BD1" w:rsidRDefault="00776BD1">
      <w:pPr>
        <w:pStyle w:val="FootnoteText"/>
        <w:rPr>
          <w:rFonts w:ascii="Verdana" w:hAnsi="Verdana"/>
        </w:rPr>
      </w:pPr>
      <w:r w:rsidRPr="00776BD1">
        <w:rPr>
          <w:rStyle w:val="FootnoteReference"/>
          <w:rFonts w:ascii="Verdana" w:hAnsi="Verdana"/>
        </w:rPr>
        <w:footnoteRef/>
      </w:r>
      <w:r w:rsidRPr="00776BD1">
        <w:rPr>
          <w:rFonts w:ascii="Verdana" w:hAnsi="Verdana"/>
        </w:rPr>
        <w:t xml:space="preserve"> </w:t>
      </w:r>
      <w:r w:rsidRPr="00776BD1">
        <w:rPr>
          <w:rFonts w:ascii="Verdana" w:hAnsi="Verdana" w:cs="Arial"/>
          <w:color w:val="000000"/>
        </w:rPr>
        <w:t>OJ L 91, 30.3.2004</w:t>
      </w:r>
    </w:p>
  </w:footnote>
  <w:footnote w:id="8">
    <w:p w:rsidR="00776BD1" w:rsidRPr="00386611" w:rsidRDefault="00776BD1" w:rsidP="00C9578D">
      <w:pPr>
        <w:autoSpaceDE w:val="0"/>
        <w:autoSpaceDN w:val="0"/>
        <w:adjustRightInd w:val="0"/>
        <w:jc w:val="both"/>
        <w:rPr>
          <w:rFonts w:ascii="Verdana" w:hAnsi="Verdana"/>
          <w:sz w:val="20"/>
          <w:szCs w:val="20"/>
        </w:rPr>
      </w:pPr>
      <w:r w:rsidRPr="00776BD1">
        <w:rPr>
          <w:rStyle w:val="FootnoteReference"/>
          <w:rFonts w:ascii="Verdana" w:hAnsi="Verdana"/>
          <w:sz w:val="20"/>
          <w:szCs w:val="20"/>
        </w:rPr>
        <w:footnoteRef/>
      </w:r>
      <w:r w:rsidRPr="00776BD1">
        <w:rPr>
          <w:rFonts w:ascii="Verdana" w:hAnsi="Verdana"/>
          <w:sz w:val="20"/>
          <w:szCs w:val="20"/>
        </w:rPr>
        <w:t xml:space="preserve"> Commission Directive 2004/33/EC of 22 March 2004 implementing Directive </w:t>
      </w:r>
      <w:r w:rsidRPr="00F5646C">
        <w:rPr>
          <w:rFonts w:ascii="Verdana" w:hAnsi="Verdana"/>
          <w:sz w:val="20"/>
          <w:szCs w:val="20"/>
        </w:rPr>
        <w:t>2002/98/EC of the European Parliament and of the Council as regards certain technical requirements for blood and blood components, Annex III at 2.1</w:t>
      </w:r>
    </w:p>
  </w:footnote>
  <w:footnote w:id="9">
    <w:p w:rsidR="00F5646C" w:rsidRPr="00F5646C" w:rsidRDefault="00F5646C" w:rsidP="00C9578D">
      <w:pPr>
        <w:pStyle w:val="FootnoteText"/>
        <w:rPr>
          <w:rFonts w:ascii="Verdana" w:hAnsi="Verdana"/>
        </w:rPr>
      </w:pPr>
      <w:r w:rsidRPr="00F5646C">
        <w:rPr>
          <w:rStyle w:val="FootnoteReference"/>
          <w:rFonts w:ascii="Verdana" w:hAnsi="Verdana"/>
        </w:rPr>
        <w:footnoteRef/>
      </w:r>
      <w:r w:rsidRPr="00F5646C">
        <w:rPr>
          <w:rFonts w:ascii="Verdana" w:hAnsi="Verdana"/>
        </w:rPr>
        <w:t xml:space="preserve"> European Parliamentary Questions, Answer of Mr. John Dalli on behalf of the Commission [available at</w:t>
      </w:r>
      <w:r>
        <w:rPr>
          <w:rFonts w:ascii="Verdana" w:hAnsi="Verdana"/>
        </w:rPr>
        <w:t xml:space="preserve"> </w:t>
      </w:r>
      <w:hyperlink r:id="rId1" w:history="1">
        <w:r w:rsidRPr="007535AF">
          <w:rPr>
            <w:rStyle w:val="Hyperlink"/>
            <w:rFonts w:ascii="Verdana" w:hAnsi="Verdana" w:cs="Calibri"/>
            <w:color w:val="auto"/>
          </w:rPr>
          <w:t>http://www.europarl.europa.eu/sides/getAllAnswers.do?reference=E-2011-006484&amp;language=EN</w:t>
        </w:r>
      </w:hyperlink>
      <w:r w:rsidRPr="007535AF">
        <w:rPr>
          <w:rFonts w:ascii="Verdana" w:hAnsi="Verdana" w:cs="Calibri"/>
        </w:rPr>
        <w:t>]</w:t>
      </w:r>
      <w:r w:rsidRPr="007535AF">
        <w:rPr>
          <w:rFonts w:ascii="Verdana" w:hAnsi="Verdana" w:cs="Calibri"/>
          <w:sz w:val="24"/>
          <w:szCs w:val="24"/>
        </w:rPr>
        <w:t xml:space="preserve"> </w:t>
      </w:r>
    </w:p>
    <w:p w:rsidR="00F5646C" w:rsidRDefault="00F5646C">
      <w:pPr>
        <w:pStyle w:val="FootnoteTex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F401B"/>
    <w:multiLevelType w:val="hybridMultilevel"/>
    <w:tmpl w:val="14F2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C7"/>
    <w:rsid w:val="00014BCD"/>
    <w:rsid w:val="000523C7"/>
    <w:rsid w:val="000D3AB4"/>
    <w:rsid w:val="000D4E49"/>
    <w:rsid w:val="000E40C0"/>
    <w:rsid w:val="00320045"/>
    <w:rsid w:val="00331E20"/>
    <w:rsid w:val="00386611"/>
    <w:rsid w:val="00445A4B"/>
    <w:rsid w:val="00601C72"/>
    <w:rsid w:val="007535AF"/>
    <w:rsid w:val="00776BD1"/>
    <w:rsid w:val="00794CE5"/>
    <w:rsid w:val="008E0D38"/>
    <w:rsid w:val="00983299"/>
    <w:rsid w:val="00986489"/>
    <w:rsid w:val="0099667A"/>
    <w:rsid w:val="009D6F2E"/>
    <w:rsid w:val="00A722DD"/>
    <w:rsid w:val="00C55D0C"/>
    <w:rsid w:val="00C9578D"/>
    <w:rsid w:val="00CE2934"/>
    <w:rsid w:val="00DE65B2"/>
    <w:rsid w:val="00EF1AA1"/>
    <w:rsid w:val="00F5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F2E"/>
    <w:rPr>
      <w:sz w:val="24"/>
      <w:szCs w:val="24"/>
    </w:rPr>
  </w:style>
  <w:style w:type="paragraph" w:styleId="Heading1">
    <w:name w:val="heading 1"/>
    <w:basedOn w:val="Default"/>
    <w:next w:val="Default"/>
    <w:link w:val="Heading1Char"/>
    <w:uiPriority w:val="99"/>
    <w:qFormat/>
    <w:rsid w:val="007535AF"/>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D6F2E"/>
    <w:rPr>
      <w:vertAlign w:val="superscript"/>
    </w:rPr>
  </w:style>
  <w:style w:type="paragraph" w:customStyle="1" w:styleId="Default">
    <w:name w:val="Default"/>
    <w:rsid w:val="009D6F2E"/>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0D4E49"/>
    <w:pPr>
      <w:ind w:left="720"/>
      <w:contextualSpacing/>
    </w:pPr>
  </w:style>
  <w:style w:type="paragraph" w:styleId="FootnoteText">
    <w:name w:val="footnote text"/>
    <w:basedOn w:val="Normal"/>
    <w:link w:val="FootnoteTextChar"/>
    <w:uiPriority w:val="99"/>
    <w:rsid w:val="000D4E49"/>
    <w:rPr>
      <w:sz w:val="20"/>
      <w:szCs w:val="20"/>
    </w:rPr>
  </w:style>
  <w:style w:type="character" w:customStyle="1" w:styleId="FootnoteTextChar">
    <w:name w:val="Footnote Text Char"/>
    <w:basedOn w:val="DefaultParagraphFont"/>
    <w:link w:val="FootnoteText"/>
    <w:uiPriority w:val="99"/>
    <w:rsid w:val="000D4E49"/>
  </w:style>
  <w:style w:type="character" w:styleId="Hyperlink">
    <w:name w:val="Hyperlink"/>
    <w:basedOn w:val="DefaultParagraphFont"/>
    <w:uiPriority w:val="99"/>
    <w:rsid w:val="00F5646C"/>
    <w:rPr>
      <w:rFonts w:cs="Times New Roman"/>
      <w:color w:val="FF0000"/>
      <w:u w:val="none"/>
      <w:effect w:val="none"/>
    </w:rPr>
  </w:style>
  <w:style w:type="character" w:styleId="FollowedHyperlink">
    <w:name w:val="FollowedHyperlink"/>
    <w:basedOn w:val="DefaultParagraphFont"/>
    <w:rsid w:val="00F5646C"/>
    <w:rPr>
      <w:color w:val="800080" w:themeColor="followedHyperlink"/>
      <w:u w:val="single"/>
    </w:rPr>
  </w:style>
  <w:style w:type="character" w:styleId="CommentReference">
    <w:name w:val="annotation reference"/>
    <w:basedOn w:val="DefaultParagraphFont"/>
    <w:rsid w:val="00331E20"/>
    <w:rPr>
      <w:sz w:val="16"/>
      <w:szCs w:val="16"/>
    </w:rPr>
  </w:style>
  <w:style w:type="paragraph" w:styleId="CommentText">
    <w:name w:val="annotation text"/>
    <w:basedOn w:val="Normal"/>
    <w:link w:val="CommentTextChar"/>
    <w:rsid w:val="00331E20"/>
    <w:rPr>
      <w:sz w:val="20"/>
      <w:szCs w:val="20"/>
    </w:rPr>
  </w:style>
  <w:style w:type="character" w:customStyle="1" w:styleId="CommentTextChar">
    <w:name w:val="Comment Text Char"/>
    <w:basedOn w:val="DefaultParagraphFont"/>
    <w:link w:val="CommentText"/>
    <w:rsid w:val="00331E20"/>
  </w:style>
  <w:style w:type="paragraph" w:styleId="CommentSubject">
    <w:name w:val="annotation subject"/>
    <w:basedOn w:val="CommentText"/>
    <w:next w:val="CommentText"/>
    <w:link w:val="CommentSubjectChar"/>
    <w:rsid w:val="00331E20"/>
    <w:rPr>
      <w:b/>
      <w:bCs/>
    </w:rPr>
  </w:style>
  <w:style w:type="character" w:customStyle="1" w:styleId="CommentSubjectChar">
    <w:name w:val="Comment Subject Char"/>
    <w:basedOn w:val="CommentTextChar"/>
    <w:link w:val="CommentSubject"/>
    <w:rsid w:val="00331E20"/>
    <w:rPr>
      <w:b/>
      <w:bCs/>
    </w:rPr>
  </w:style>
  <w:style w:type="paragraph" w:styleId="BalloonText">
    <w:name w:val="Balloon Text"/>
    <w:basedOn w:val="Normal"/>
    <w:link w:val="BalloonTextChar"/>
    <w:rsid w:val="00331E20"/>
    <w:rPr>
      <w:rFonts w:ascii="Tahoma" w:hAnsi="Tahoma" w:cs="Tahoma"/>
      <w:sz w:val="16"/>
      <w:szCs w:val="16"/>
    </w:rPr>
  </w:style>
  <w:style w:type="character" w:customStyle="1" w:styleId="BalloonTextChar">
    <w:name w:val="Balloon Text Char"/>
    <w:basedOn w:val="DefaultParagraphFont"/>
    <w:link w:val="BalloonText"/>
    <w:rsid w:val="00331E20"/>
    <w:rPr>
      <w:rFonts w:ascii="Tahoma" w:hAnsi="Tahoma" w:cs="Tahoma"/>
      <w:sz w:val="16"/>
      <w:szCs w:val="16"/>
    </w:rPr>
  </w:style>
  <w:style w:type="character" w:customStyle="1" w:styleId="Heading1Char">
    <w:name w:val="Heading 1 Char"/>
    <w:basedOn w:val="DefaultParagraphFont"/>
    <w:link w:val="Heading1"/>
    <w:uiPriority w:val="99"/>
    <w:rsid w:val="007535AF"/>
    <w:rPr>
      <w:rFonts w:ascii="Verdana"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F2E"/>
    <w:rPr>
      <w:sz w:val="24"/>
      <w:szCs w:val="24"/>
    </w:rPr>
  </w:style>
  <w:style w:type="paragraph" w:styleId="Heading1">
    <w:name w:val="heading 1"/>
    <w:basedOn w:val="Default"/>
    <w:next w:val="Default"/>
    <w:link w:val="Heading1Char"/>
    <w:uiPriority w:val="99"/>
    <w:qFormat/>
    <w:rsid w:val="007535AF"/>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D6F2E"/>
    <w:rPr>
      <w:vertAlign w:val="superscript"/>
    </w:rPr>
  </w:style>
  <w:style w:type="paragraph" w:customStyle="1" w:styleId="Default">
    <w:name w:val="Default"/>
    <w:rsid w:val="009D6F2E"/>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0D4E49"/>
    <w:pPr>
      <w:ind w:left="720"/>
      <w:contextualSpacing/>
    </w:pPr>
  </w:style>
  <w:style w:type="paragraph" w:styleId="FootnoteText">
    <w:name w:val="footnote text"/>
    <w:basedOn w:val="Normal"/>
    <w:link w:val="FootnoteTextChar"/>
    <w:uiPriority w:val="99"/>
    <w:rsid w:val="000D4E49"/>
    <w:rPr>
      <w:sz w:val="20"/>
      <w:szCs w:val="20"/>
    </w:rPr>
  </w:style>
  <w:style w:type="character" w:customStyle="1" w:styleId="FootnoteTextChar">
    <w:name w:val="Footnote Text Char"/>
    <w:basedOn w:val="DefaultParagraphFont"/>
    <w:link w:val="FootnoteText"/>
    <w:uiPriority w:val="99"/>
    <w:rsid w:val="000D4E49"/>
  </w:style>
  <w:style w:type="character" w:styleId="Hyperlink">
    <w:name w:val="Hyperlink"/>
    <w:basedOn w:val="DefaultParagraphFont"/>
    <w:uiPriority w:val="99"/>
    <w:rsid w:val="00F5646C"/>
    <w:rPr>
      <w:rFonts w:cs="Times New Roman"/>
      <w:color w:val="FF0000"/>
      <w:u w:val="none"/>
      <w:effect w:val="none"/>
    </w:rPr>
  </w:style>
  <w:style w:type="character" w:styleId="FollowedHyperlink">
    <w:name w:val="FollowedHyperlink"/>
    <w:basedOn w:val="DefaultParagraphFont"/>
    <w:rsid w:val="00F5646C"/>
    <w:rPr>
      <w:color w:val="800080" w:themeColor="followedHyperlink"/>
      <w:u w:val="single"/>
    </w:rPr>
  </w:style>
  <w:style w:type="character" w:styleId="CommentReference">
    <w:name w:val="annotation reference"/>
    <w:basedOn w:val="DefaultParagraphFont"/>
    <w:rsid w:val="00331E20"/>
    <w:rPr>
      <w:sz w:val="16"/>
      <w:szCs w:val="16"/>
    </w:rPr>
  </w:style>
  <w:style w:type="paragraph" w:styleId="CommentText">
    <w:name w:val="annotation text"/>
    <w:basedOn w:val="Normal"/>
    <w:link w:val="CommentTextChar"/>
    <w:rsid w:val="00331E20"/>
    <w:rPr>
      <w:sz w:val="20"/>
      <w:szCs w:val="20"/>
    </w:rPr>
  </w:style>
  <w:style w:type="character" w:customStyle="1" w:styleId="CommentTextChar">
    <w:name w:val="Comment Text Char"/>
    <w:basedOn w:val="DefaultParagraphFont"/>
    <w:link w:val="CommentText"/>
    <w:rsid w:val="00331E20"/>
  </w:style>
  <w:style w:type="paragraph" w:styleId="CommentSubject">
    <w:name w:val="annotation subject"/>
    <w:basedOn w:val="CommentText"/>
    <w:next w:val="CommentText"/>
    <w:link w:val="CommentSubjectChar"/>
    <w:rsid w:val="00331E20"/>
    <w:rPr>
      <w:b/>
      <w:bCs/>
    </w:rPr>
  </w:style>
  <w:style w:type="character" w:customStyle="1" w:styleId="CommentSubjectChar">
    <w:name w:val="Comment Subject Char"/>
    <w:basedOn w:val="CommentTextChar"/>
    <w:link w:val="CommentSubject"/>
    <w:rsid w:val="00331E20"/>
    <w:rPr>
      <w:b/>
      <w:bCs/>
    </w:rPr>
  </w:style>
  <w:style w:type="paragraph" w:styleId="BalloonText">
    <w:name w:val="Balloon Text"/>
    <w:basedOn w:val="Normal"/>
    <w:link w:val="BalloonTextChar"/>
    <w:rsid w:val="00331E20"/>
    <w:rPr>
      <w:rFonts w:ascii="Tahoma" w:hAnsi="Tahoma" w:cs="Tahoma"/>
      <w:sz w:val="16"/>
      <w:szCs w:val="16"/>
    </w:rPr>
  </w:style>
  <w:style w:type="character" w:customStyle="1" w:styleId="BalloonTextChar">
    <w:name w:val="Balloon Text Char"/>
    <w:basedOn w:val="DefaultParagraphFont"/>
    <w:link w:val="BalloonText"/>
    <w:rsid w:val="00331E20"/>
    <w:rPr>
      <w:rFonts w:ascii="Tahoma" w:hAnsi="Tahoma" w:cs="Tahoma"/>
      <w:sz w:val="16"/>
      <w:szCs w:val="16"/>
    </w:rPr>
  </w:style>
  <w:style w:type="character" w:customStyle="1" w:styleId="Heading1Char">
    <w:name w:val="Heading 1 Char"/>
    <w:basedOn w:val="DefaultParagraphFont"/>
    <w:link w:val="Heading1"/>
    <w:uiPriority w:val="99"/>
    <w:rsid w:val="007535AF"/>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AllAnswers.do?reference=E-2011-006484&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D7147-955A-41A0-8F91-E60F617E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Rhyannon Blythe</dc:creator>
  <cp:lastModifiedBy>zzz</cp:lastModifiedBy>
  <cp:revision>3</cp:revision>
  <cp:lastPrinted>2012-06-22T08:05:00Z</cp:lastPrinted>
  <dcterms:created xsi:type="dcterms:W3CDTF">2012-08-09T09:48:00Z</dcterms:created>
  <dcterms:modified xsi:type="dcterms:W3CDTF">2012-09-23T12:50:00Z</dcterms:modified>
</cp:coreProperties>
</file>