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6749"/>
      </w:tblGrid>
      <w:tr w:rsidR="005C379B" w:rsidRPr="005C379B" w:rsidTr="00F7034C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79B" w:rsidRPr="00F7034C" w:rsidRDefault="00A47B7B" w:rsidP="005C379B">
            <w:pPr>
              <w:spacing w:before="100" w:beforeAutospacing="1" w:after="100" w:afterAutospacing="1" w:line="240" w:lineRule="auto"/>
              <w:outlineLvl w:val="1"/>
              <w:rPr>
                <w:b/>
                <w:bCs/>
                <w:szCs w:val="24"/>
                <w:lang w:eastAsia="en-GB"/>
              </w:rPr>
            </w:pPr>
            <w:hyperlink r:id="rId6" w:history="1">
              <w:r w:rsidR="005C379B" w:rsidRPr="00F7034C">
                <w:rPr>
                  <w:b/>
                  <w:bCs/>
                  <w:color w:val="0000FF"/>
                  <w:szCs w:val="24"/>
                  <w:u w:val="single"/>
                  <w:lang w:eastAsia="en-GB"/>
                </w:rPr>
                <w:t>Protestant Cork 1911-26</w:t>
              </w:r>
            </w:hyperlink>
          </w:p>
        </w:tc>
        <w:tc>
          <w:tcPr>
            <w:tcW w:w="6286" w:type="dxa"/>
            <w:vAlign w:val="center"/>
            <w:hideMark/>
          </w:tcPr>
          <w:p w:rsidR="005C379B" w:rsidRPr="005C379B" w:rsidRDefault="005C379B" w:rsidP="005C379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  <w:r w:rsidRPr="005C379B">
              <w:rPr>
                <w:rFonts w:ascii="Arial" w:hAnsi="Arial" w:cs="Arial"/>
                <w:vanish/>
                <w:sz w:val="16"/>
                <w:szCs w:val="16"/>
                <w:lang w:eastAsia="en-GB"/>
              </w:rPr>
              <w:t>Top of Form</w:t>
            </w:r>
          </w:p>
          <w:p w:rsidR="005C379B" w:rsidRPr="005C379B" w:rsidRDefault="005C379B" w:rsidP="005C379B">
            <w:pPr>
              <w:spacing w:after="0" w:line="240" w:lineRule="auto"/>
              <w:rPr>
                <w:szCs w:val="24"/>
                <w:lang w:eastAsia="en-GB"/>
              </w:rPr>
            </w:pPr>
            <w:r w:rsidRPr="005C379B">
              <w:rPr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1.5pt;height:18pt" o:ole="">
                  <v:imagedata r:id="rId7" o:title=""/>
                </v:shape>
                <w:control r:id="rId8" w:name="DefaultOcxName" w:shapeid="_x0000_i1029"/>
              </w:object>
            </w:r>
          </w:p>
          <w:p w:rsidR="005C379B" w:rsidRPr="005C379B" w:rsidRDefault="005C379B" w:rsidP="005C379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  <w:r w:rsidRPr="005C379B">
              <w:rPr>
                <w:rFonts w:ascii="Arial" w:hAnsi="Arial" w:cs="Arial"/>
                <w:vanish/>
                <w:sz w:val="16"/>
                <w:szCs w:val="16"/>
                <w:lang w:eastAsia="en-GB"/>
              </w:rPr>
              <w:t>Bottom of Form</w:t>
            </w:r>
          </w:p>
        </w:tc>
      </w:tr>
      <w:tr w:rsidR="005C379B" w:rsidRPr="005C379B" w:rsidTr="00F7034C">
        <w:trPr>
          <w:tblCellSpacing w:w="0" w:type="dxa"/>
        </w:trPr>
        <w:tc>
          <w:tcPr>
            <w:tcW w:w="9796" w:type="dxa"/>
            <w:gridSpan w:val="2"/>
            <w:vAlign w:val="center"/>
            <w:hideMark/>
          </w:tcPr>
          <w:p w:rsidR="005C379B" w:rsidRPr="005C379B" w:rsidRDefault="005C379B" w:rsidP="005C379B">
            <w:pPr>
              <w:spacing w:after="0" w:line="240" w:lineRule="auto"/>
              <w:rPr>
                <w:szCs w:val="24"/>
                <w:lang w:eastAsia="en-GB"/>
              </w:rPr>
            </w:pPr>
          </w:p>
        </w:tc>
      </w:tr>
      <w:tr w:rsidR="005C379B" w:rsidRPr="005C379B" w:rsidTr="00F7034C">
        <w:trPr>
          <w:tblCellSpacing w:w="0" w:type="dxa"/>
        </w:trPr>
        <w:tc>
          <w:tcPr>
            <w:tcW w:w="3510" w:type="dxa"/>
            <w:vAlign w:val="center"/>
            <w:hideMark/>
          </w:tcPr>
          <w:p w:rsidR="005C379B" w:rsidRPr="005C379B" w:rsidRDefault="005C379B" w:rsidP="005C379B">
            <w:pPr>
              <w:spacing w:before="100" w:beforeAutospacing="1" w:after="100" w:afterAutospacing="1" w:line="240" w:lineRule="auto"/>
              <w:outlineLvl w:val="3"/>
              <w:rPr>
                <w:b/>
                <w:bCs/>
                <w:szCs w:val="24"/>
                <w:lang w:eastAsia="en-GB"/>
              </w:rPr>
            </w:pPr>
            <w:r w:rsidRPr="005C379B">
              <w:rPr>
                <w:b/>
                <w:bCs/>
                <w:szCs w:val="24"/>
                <w:lang w:eastAsia="en-GB"/>
              </w:rPr>
              <w:t>Navigation</w:t>
            </w:r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9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Articles and sources by Barry Keane</w:t>
              </w:r>
            </w:hyperlink>
          </w:p>
          <w:p w:rsidR="005C379B" w:rsidRPr="005C379B" w:rsidRDefault="000818C1" w:rsidP="005C379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10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Protestant Cork decline 1911-1926 Murders, Mistakes, Myths,and Misinformation updated 10th August 2012</w:t>
              </w:r>
            </w:hyperlink>
          </w:p>
          <w:p w:rsidR="005C379B" w:rsidRPr="005C379B" w:rsidRDefault="000818C1" w:rsidP="005C379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11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Statistical Analysis of Protestant decline in Cork 1911-1926</w:t>
              </w:r>
            </w:hyperlink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12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Contact Barry Keane</w:t>
              </w:r>
            </w:hyperlink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13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Dunmanway Murders Census returns 1911</w:t>
              </w:r>
            </w:hyperlink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14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Dunmanway Murders Some contemporary reports</w:t>
              </w:r>
            </w:hyperlink>
          </w:p>
          <w:p w:rsidR="005C379B" w:rsidRPr="005C379B" w:rsidRDefault="005C379B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r w:rsidRPr="005C379B">
              <w:rPr>
                <w:szCs w:val="24"/>
                <w:lang w:eastAsia="en-GB"/>
              </w:rPr>
              <w:t>Dunmanway Murders Timeline</w:t>
            </w:r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15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Google map of Hornibrook and Dunmanway Killings</w:t>
              </w:r>
            </w:hyperlink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16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Main denominations Population pyramids for Cork 1911</w:t>
              </w:r>
            </w:hyperlink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17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Map 1 Protestant Population % Map Cork 1911 (by DED)- click on image to reduce</w:t>
              </w:r>
            </w:hyperlink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18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Map 2 Protestant Population % Map Cork 1936</w:t>
              </w:r>
            </w:hyperlink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19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Map 3 Church of Ireland parish populations in Cork Cloyne and Ross abstracted from Cole 1902- excluding military</w:t>
              </w:r>
            </w:hyperlink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20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Map 4 Map of amalgamated Cork Church of Ireland parishes after Cole 1902</w:t>
              </w:r>
            </w:hyperlink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21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Table #1 British Military in Cork Barracks 1881-1911</w:t>
              </w:r>
            </w:hyperlink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22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Table #2 Church of Ireland and Church of England Population 1911, and approximate CI % decline 1911-1926 by County</w:t>
              </w:r>
            </w:hyperlink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23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 xml:space="preserve">Table #3 Major Landholders </w:t>
              </w:r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lastRenderedPageBreak/>
                <w:t>Cork 1884 and 1911 with approximate religious breakdown for 1911</w:t>
              </w:r>
            </w:hyperlink>
          </w:p>
          <w:p w:rsidR="005C379B" w:rsidRPr="005C379B" w:rsidRDefault="000818C1" w:rsidP="005C379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Cs w:val="24"/>
                <w:lang w:eastAsia="en-GB"/>
              </w:rPr>
            </w:pPr>
            <w:hyperlink r:id="rId24" w:history="1">
              <w:r w:rsidR="005C379B" w:rsidRPr="005C379B">
                <w:rPr>
                  <w:color w:val="0000FF"/>
                  <w:szCs w:val="24"/>
                  <w:u w:val="single"/>
                  <w:lang w:eastAsia="en-GB"/>
                </w:rPr>
                <w:t>Sitemap</w:t>
              </w:r>
            </w:hyperlink>
          </w:p>
        </w:tc>
        <w:tc>
          <w:tcPr>
            <w:tcW w:w="6286" w:type="dxa"/>
            <w:vAlign w:val="center"/>
            <w:hideMark/>
          </w:tcPr>
          <w:p w:rsidR="005C379B" w:rsidRPr="005C379B" w:rsidRDefault="005C379B" w:rsidP="005C379B">
            <w:pPr>
              <w:spacing w:before="100" w:beforeAutospacing="1" w:after="100" w:afterAutospacing="1" w:line="240" w:lineRule="auto"/>
              <w:outlineLvl w:val="2"/>
              <w:rPr>
                <w:b/>
                <w:bCs/>
                <w:sz w:val="27"/>
                <w:szCs w:val="27"/>
                <w:lang w:eastAsia="en-GB"/>
              </w:rPr>
            </w:pPr>
            <w:r w:rsidRPr="005C379B">
              <w:rPr>
                <w:b/>
                <w:bCs/>
                <w:sz w:val="27"/>
                <w:szCs w:val="27"/>
                <w:lang w:eastAsia="en-GB"/>
              </w:rPr>
              <w:lastRenderedPageBreak/>
              <w:t>Dunmanway Murders Timeline</w:t>
            </w:r>
            <w:r w:rsidR="000818C1">
              <w:rPr>
                <w:b/>
                <w:bCs/>
                <w:sz w:val="27"/>
                <w:szCs w:val="27"/>
                <w:lang w:eastAsia="en-GB"/>
              </w:rPr>
              <w:t xml:space="preserve"> 1922</w:t>
            </w:r>
            <w:bookmarkStart w:id="0" w:name="_GoBack"/>
            <w:bookmarkEnd w:id="0"/>
            <w:r w:rsidRPr="005C379B">
              <w:rPr>
                <w:b/>
                <w:bCs/>
                <w:sz w:val="27"/>
                <w:szCs w:val="27"/>
                <w:lang w:eastAsia="en-GB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eastAsia="en-GB"/>
              </w:rPr>
              <w:t xml:space="preserve">– 13 </w:t>
            </w:r>
            <w:r w:rsidR="00F7034C">
              <w:rPr>
                <w:b/>
                <w:bCs/>
                <w:sz w:val="27"/>
                <w:szCs w:val="27"/>
                <w:lang w:eastAsia="en-GB"/>
              </w:rPr>
              <w:t xml:space="preserve">Protestant dead </w:t>
            </w:r>
            <w:r>
              <w:rPr>
                <w:b/>
                <w:bCs/>
                <w:sz w:val="27"/>
                <w:szCs w:val="27"/>
                <w:lang w:eastAsia="en-GB"/>
              </w:rPr>
              <w:t>&amp; O’Neill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9"/>
            </w:tblGrid>
            <w:tr w:rsidR="005C379B" w:rsidRPr="005C379B" w:rsidTr="005C379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673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"/>
                    <w:gridCol w:w="1008"/>
                    <w:gridCol w:w="997"/>
                    <w:gridCol w:w="3371"/>
                  </w:tblGrid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Name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Night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Time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Notes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V Comm. Michael O Neill IRP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25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t>/26th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2.30am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A leading member of the West Cork IRA he spent from October 1920 until 2 months before his death interned. Highly respected and regarded as chivalrous by fellow officers. Over 1,000 volunteers marched at his funeral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Thomas Hornibrook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26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Morning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Kidnapped and killed. Farmer and Justice of the Peace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Samuel Wood Hornibrook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26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Morning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Kidnapped and killed. Farmer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Captain Herbert Woods MM MC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26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Morning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 xml:space="preserve">Kidnapped and killed. Decorated War hero. Started as a private in the Leinster regiment and reached the rank of </w:t>
                        </w:r>
                        <w:r w:rsidR="00A47B7B" w:rsidRPr="005C379B">
                          <w:rPr>
                            <w:szCs w:val="24"/>
                            <w:lang w:eastAsia="en-GB"/>
                          </w:rPr>
                          <w:t>Temporary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t xml:space="preserve"> Colonel. Remained in service on special duties in the War Office (possibly in the records section) until at least June 1919.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Francis Fitzmaurice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26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t>/27th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12.15 am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Crown Solicitor and Land Agent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David Gray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26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t>/27th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1.00 am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 xml:space="preserve">Chemist 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James Buttimer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26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t>/27th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1.20 am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A47B7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Retired Drape</w:t>
                        </w:r>
                        <w:r w:rsidR="00A47B7B">
                          <w:rPr>
                            <w:szCs w:val="24"/>
                            <w:lang w:eastAsia="en-GB"/>
                          </w:rPr>
                          <w:t>r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t xml:space="preserve"> Son Clarence joined Canadian Ontario Regiment and died on 10 November 1918.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Robert Howe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27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t>/28th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10.30pm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Farmer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John Chinnery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27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t>/28th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Early morning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Farmer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Robert Nagle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27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t>/28th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11.00 pm after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 xml:space="preserve">Postal Worker- shot in place of his father It is possible that one group driving from shooting to shooting could have shot all the individuals the 27th/28th  on, but logic suggest two groups one in 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lastRenderedPageBreak/>
                          <w:t>Clonakilty and one in Ballineen were operating on this night. Certainly one group operating have reached all the Ballineen shootings even if they only cycled between locations.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color w:val="FF3366"/>
                            <w:szCs w:val="24"/>
                            <w:lang w:eastAsia="en-GB"/>
                          </w:rPr>
                          <w:lastRenderedPageBreak/>
                          <w:t>Ralph Harbord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color w:val="FF3366"/>
                            <w:szCs w:val="24"/>
                            <w:lang w:eastAsia="en-GB"/>
                          </w:rPr>
                          <w:t>27</w:t>
                        </w:r>
                        <w:r w:rsidRPr="005C379B">
                          <w:rPr>
                            <w:color w:val="FF3366"/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Pr="005C379B">
                          <w:rPr>
                            <w:color w:val="FF3366"/>
                            <w:szCs w:val="24"/>
                            <w:lang w:eastAsia="en-GB"/>
                          </w:rPr>
                          <w:t>/28th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color w:val="FF3366"/>
                            <w:szCs w:val="24"/>
                            <w:lang w:eastAsia="en-GB"/>
                          </w:rPr>
                          <w:t>Not stated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color w:val="FF3366"/>
                            <w:szCs w:val="24"/>
                            <w:lang w:eastAsia="en-GB"/>
                          </w:rPr>
                          <w:t xml:space="preserve">Not killed Clergyman Brother was a member of the Royal Inniskilling </w:t>
                        </w:r>
                        <w:r w:rsidR="00A47B7B" w:rsidRPr="005C379B">
                          <w:rPr>
                            <w:color w:val="FF3366"/>
                            <w:szCs w:val="24"/>
                            <w:lang w:eastAsia="en-GB"/>
                          </w:rPr>
                          <w:t>Fusiliers</w:t>
                        </w:r>
                        <w:r w:rsidRPr="005C379B">
                          <w:rPr>
                            <w:color w:val="FF3366"/>
                            <w:szCs w:val="24"/>
                            <w:lang w:eastAsia="en-GB"/>
                          </w:rPr>
                          <w:t xml:space="preserve"> and was killed at the Battle of the Somme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Alexander Mc Kinley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27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t>/28th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1.30 am after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Initially called Peyton but this was corrected in later reports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John Buttimer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27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t>/28th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2.00 am approx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Farmer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James Greenfield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27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t>/28th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2.00 am approx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Farm Servant</w:t>
                        </w:r>
                      </w:p>
                    </w:tc>
                  </w:tr>
                  <w:tr w:rsidR="005C379B" w:rsidRPr="005C379B" w:rsidTr="00F7034C">
                    <w:trPr>
                      <w:tblCellSpacing w:w="0" w:type="dxa"/>
                    </w:trPr>
                    <w:tc>
                      <w:tcPr>
                        <w:tcW w:w="9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John Bradfield</w:t>
                        </w:r>
                      </w:p>
                    </w:tc>
                    <w:tc>
                      <w:tcPr>
                        <w:tcW w:w="7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28</w:t>
                        </w:r>
                        <w:r w:rsidRPr="005C379B">
                          <w:rPr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Pr="005C379B">
                          <w:rPr>
                            <w:szCs w:val="24"/>
                            <w:lang w:eastAsia="en-GB"/>
                          </w:rPr>
                          <w:t>/29th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11.00 pm</w:t>
                        </w:r>
                      </w:p>
                    </w:tc>
                    <w:tc>
                      <w:tcPr>
                        <w:tcW w:w="252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5C379B" w:rsidRPr="005C379B" w:rsidRDefault="005C379B" w:rsidP="005C379B">
                        <w:pPr>
                          <w:spacing w:before="100" w:beforeAutospacing="1" w:after="100" w:afterAutospacing="1" w:line="240" w:lineRule="auto"/>
                          <w:rPr>
                            <w:szCs w:val="24"/>
                            <w:lang w:eastAsia="en-GB"/>
                          </w:rPr>
                        </w:pPr>
                        <w:r w:rsidRPr="005C379B">
                          <w:rPr>
                            <w:szCs w:val="24"/>
                            <w:lang w:eastAsia="en-GB"/>
                          </w:rPr>
                          <w:t>Initially called Shorten but this was corrected in later reports- shot in place of his brother William</w:t>
                        </w:r>
                      </w:p>
                    </w:tc>
                  </w:tr>
                </w:tbl>
                <w:p w:rsidR="005C379B" w:rsidRPr="005C379B" w:rsidRDefault="005C379B" w:rsidP="005C379B">
                  <w:pPr>
                    <w:spacing w:after="0" w:line="240" w:lineRule="auto"/>
                    <w:rPr>
                      <w:szCs w:val="24"/>
                      <w:lang w:eastAsia="en-GB"/>
                    </w:rPr>
                  </w:pPr>
                </w:p>
              </w:tc>
            </w:tr>
          </w:tbl>
          <w:p w:rsidR="005C379B" w:rsidRPr="005C379B" w:rsidRDefault="005C379B" w:rsidP="005C379B">
            <w:pPr>
              <w:spacing w:after="0" w:line="240" w:lineRule="auto"/>
              <w:rPr>
                <w:szCs w:val="24"/>
                <w:lang w:eastAsia="en-GB"/>
              </w:rPr>
            </w:pPr>
            <w:bookmarkStart w:id="1" w:name="page-comments"/>
            <w:bookmarkEnd w:id="1"/>
          </w:p>
        </w:tc>
      </w:tr>
    </w:tbl>
    <w:p w:rsidR="00C056C8" w:rsidRDefault="000818C1"/>
    <w:sectPr w:rsidR="00C05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76CA"/>
    <w:multiLevelType w:val="multilevel"/>
    <w:tmpl w:val="E998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FA"/>
    <w:rsid w:val="000818C1"/>
    <w:rsid w:val="00591367"/>
    <w:rsid w:val="005C379B"/>
    <w:rsid w:val="008908FA"/>
    <w:rsid w:val="008C43D8"/>
    <w:rsid w:val="008F245B"/>
    <w:rsid w:val="00A47B7B"/>
    <w:rsid w:val="00BE1BA4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4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00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sites.google.com/site/protestantcork191136/dunmanway-murders-census-returns-1911" TargetMode="External"/><Relationship Id="rId18" Type="http://schemas.openxmlformats.org/officeDocument/2006/relationships/hyperlink" Target="https://sites.google.com/site/protestantcork191136/protestant-population-cork-percentage-193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ites.google.com/site/protestantcork191136/protestant-military-in-cork-barracks-1881-1911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sites.google.com/site/protestantcork191136/contact-barry-keane" TargetMode="External"/><Relationship Id="rId17" Type="http://schemas.openxmlformats.org/officeDocument/2006/relationships/hyperlink" Target="https://sites.google.com/site/protestantcork191136/protestant-population-county-cork-as-percentage-of-total-population-in-electoral-district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protestantcork191136/main-denominations-population-pyramids-for-cork-1911" TargetMode="External"/><Relationship Id="rId20" Type="http://schemas.openxmlformats.org/officeDocument/2006/relationships/hyperlink" Target="https://sites.google.com/site/protestantcork191136/map-of-amalgamated-cork-church-of-ireland-parishes-after-cole-19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protestantcork191136/" TargetMode="External"/><Relationship Id="rId11" Type="http://schemas.openxmlformats.org/officeDocument/2006/relationships/hyperlink" Target="https://sites.google.com/site/protestantcork191136/home/statistical-analysis-of-protestant-decline-in-cork-1911-1926" TargetMode="External"/><Relationship Id="rId24" Type="http://schemas.openxmlformats.org/officeDocument/2006/relationships/hyperlink" Target="https://sites.google.com/site/protestantcork191136/system/app/pages/sitemap/hierarch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protestantcork191136/google-map-of-hornibrook-and-dunmanway-killings" TargetMode="External"/><Relationship Id="rId23" Type="http://schemas.openxmlformats.org/officeDocument/2006/relationships/hyperlink" Target="https://sites.google.com/site/protestantcork191136/major-landholders-cork-1884-and-1911-with-approximate-religious-breakdown-for-1911" TargetMode="External"/><Relationship Id="rId10" Type="http://schemas.openxmlformats.org/officeDocument/2006/relationships/hyperlink" Target="https://sites.google.com/site/protestantcork191136/home/protestant-cork-decline-1911-1926-murders-mistakes-myths-and-misinformation-updated-25th-july-2012" TargetMode="External"/><Relationship Id="rId19" Type="http://schemas.openxmlformats.org/officeDocument/2006/relationships/hyperlink" Target="https://sites.google.com/site/protestantcork191136/largest-church-of-parish-populations-in-cork-cloyne-and-ross-abstracted-from-cole-1902--excluding-milit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protestantcork191136/home" TargetMode="External"/><Relationship Id="rId14" Type="http://schemas.openxmlformats.org/officeDocument/2006/relationships/hyperlink" Target="https://sites.google.com/site/protestantcork191136/dunmanway-murders-some-contemporary-reports" TargetMode="External"/><Relationship Id="rId22" Type="http://schemas.openxmlformats.org/officeDocument/2006/relationships/hyperlink" Target="https://sites.google.com/site/protestantcork191136/church-of-ireland-and-church-of-england-population-1911-and-approximate-ci-decline-1911-1926-by-county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5</cp:revision>
  <dcterms:created xsi:type="dcterms:W3CDTF">2012-09-02T16:06:00Z</dcterms:created>
  <dcterms:modified xsi:type="dcterms:W3CDTF">2020-11-25T09:04:00Z</dcterms:modified>
</cp:coreProperties>
</file>