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938"/>
      </w:tblGrid>
      <w:tr w:rsidR="009E6B8C" w:rsidRPr="009E6B8C" w:rsidTr="009E6B8C">
        <w:trPr>
          <w:tblCellSpacing w:w="0" w:type="dxa"/>
          <w:jc w:val="center"/>
        </w:trPr>
        <w:tc>
          <w:tcPr>
            <w:tcW w:w="0" w:type="auto"/>
            <w:tcMar>
              <w:top w:w="150" w:type="dxa"/>
              <w:left w:w="150" w:type="dxa"/>
              <w:bottom w:w="150"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9E6B8C" w:rsidRPr="009E6B8C" w:rsidTr="001856FF">
              <w:trPr>
                <w:trHeight w:val="60"/>
                <w:tblCellSpacing w:w="0" w:type="dxa"/>
                <w:jc w:val="center"/>
              </w:trPr>
              <w:tc>
                <w:tcPr>
                  <w:tcW w:w="0" w:type="auto"/>
                  <w:tcMar>
                    <w:top w:w="0" w:type="dxa"/>
                    <w:left w:w="0" w:type="dxa"/>
                    <w:bottom w:w="150" w:type="dxa"/>
                    <w:right w:w="0" w:type="dxa"/>
                  </w:tcMar>
                  <w:vAlign w:val="center"/>
                </w:tcPr>
                <w:p w:rsidR="009E6B8C" w:rsidRPr="009E6B8C" w:rsidRDefault="009E6B8C" w:rsidP="001856FF">
                  <w:pPr>
                    <w:spacing w:before="100" w:beforeAutospacing="1" w:after="100" w:afterAutospacing="1" w:line="240" w:lineRule="auto"/>
                    <w:jc w:val="center"/>
                    <w:rPr>
                      <w:szCs w:val="24"/>
                      <w:lang w:eastAsia="en-GB"/>
                    </w:rPr>
                  </w:pPr>
                  <w:bookmarkStart w:id="0" w:name="_GoBack"/>
                  <w:bookmarkEnd w:id="0"/>
                </w:p>
              </w:tc>
            </w:tr>
          </w:tbl>
          <w:p w:rsidR="009E6B8C" w:rsidRPr="009E6B8C" w:rsidRDefault="009E6B8C" w:rsidP="009E6B8C">
            <w:pPr>
              <w:spacing w:before="100" w:beforeAutospacing="1" w:after="100" w:afterAutospacing="1" w:line="240" w:lineRule="auto"/>
              <w:rPr>
                <w:szCs w:val="24"/>
                <w:lang w:eastAsia="en-GB"/>
              </w:rPr>
            </w:pPr>
            <w:r w:rsidRPr="009E6B8C">
              <w:rPr>
                <w:rFonts w:ascii="Arial" w:hAnsi="Arial" w:cs="Arial"/>
                <w:sz w:val="19"/>
                <w:szCs w:val="19"/>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9E6B8C" w:rsidRPr="009E6B8C" w:rsidTr="009E6B8C">
              <w:trPr>
                <w:tblCellSpacing w:w="0" w:type="dxa"/>
              </w:trPr>
              <w:tc>
                <w:tcPr>
                  <w:tcW w:w="0" w:type="auto"/>
                  <w:shd w:val="clear" w:color="auto" w:fill="FFFFFF"/>
                  <w:vAlign w:val="center"/>
                  <w:hideMark/>
                </w:tcPr>
                <w:tbl>
                  <w:tblPr>
                    <w:tblW w:w="5000" w:type="pct"/>
                    <w:tblCellSpacing w:w="0" w:type="dxa"/>
                    <w:shd w:val="clear" w:color="auto" w:fill="43A4D0"/>
                    <w:tblCellMar>
                      <w:left w:w="0" w:type="dxa"/>
                      <w:right w:w="0" w:type="dxa"/>
                    </w:tblCellMar>
                    <w:tblLook w:val="04A0" w:firstRow="1" w:lastRow="0" w:firstColumn="1" w:lastColumn="0" w:noHBand="0" w:noVBand="1"/>
                  </w:tblPr>
                  <w:tblGrid>
                    <w:gridCol w:w="9638"/>
                  </w:tblGrid>
                  <w:tr w:rsidR="009E6B8C" w:rsidRPr="009E6B8C">
                    <w:trPr>
                      <w:tblCellSpacing w:w="0" w:type="dxa"/>
                    </w:trPr>
                    <w:tc>
                      <w:tcPr>
                        <w:tcW w:w="0" w:type="auto"/>
                        <w:shd w:val="clear" w:color="auto" w:fill="43A4D0"/>
                        <w:vAlign w:val="center"/>
                        <w:hideMark/>
                      </w:tcPr>
                      <w:p w:rsidR="009E6B8C" w:rsidRPr="009E6B8C" w:rsidRDefault="009E6B8C" w:rsidP="009E6B8C">
                        <w:pPr>
                          <w:spacing w:after="0" w:line="240" w:lineRule="auto"/>
                          <w:rPr>
                            <w:szCs w:val="24"/>
                            <w:lang w:eastAsia="en-GB"/>
                          </w:rPr>
                        </w:pPr>
                      </w:p>
                    </w:tc>
                  </w:tr>
                </w:tbl>
                <w:p w:rsidR="009E6B8C" w:rsidRPr="009E6B8C" w:rsidRDefault="009E6B8C" w:rsidP="009E6B8C">
                  <w:pPr>
                    <w:spacing w:after="0" w:line="240" w:lineRule="auto"/>
                    <w:rPr>
                      <w:vanish/>
                      <w:szCs w:val="24"/>
                      <w:lang w:eastAsia="en-GB"/>
                    </w:rPr>
                  </w:pPr>
                </w:p>
                <w:tbl>
                  <w:tblPr>
                    <w:tblW w:w="5000" w:type="pct"/>
                    <w:tblCellSpacing w:w="0" w:type="dxa"/>
                    <w:tblBorders>
                      <w:bottom w:val="single" w:sz="8" w:space="0" w:color="DDDDDD"/>
                    </w:tblBorders>
                    <w:shd w:val="clear" w:color="auto" w:fill="EFEFEF"/>
                    <w:tblCellMar>
                      <w:left w:w="0" w:type="dxa"/>
                      <w:right w:w="0" w:type="dxa"/>
                    </w:tblCellMar>
                    <w:tblLook w:val="04A0" w:firstRow="1" w:lastRow="0" w:firstColumn="1" w:lastColumn="0" w:noHBand="0" w:noVBand="1"/>
                  </w:tblPr>
                  <w:tblGrid>
                    <w:gridCol w:w="9158"/>
                    <w:gridCol w:w="480"/>
                  </w:tblGrid>
                  <w:tr w:rsidR="009E6B8C" w:rsidRPr="009E6B8C">
                    <w:trPr>
                      <w:tblCellSpacing w:w="0" w:type="dxa"/>
                    </w:trPr>
                    <w:tc>
                      <w:tcPr>
                        <w:tcW w:w="0" w:type="auto"/>
                        <w:tcBorders>
                          <w:top w:val="nil"/>
                          <w:left w:val="nil"/>
                          <w:bottom w:val="nil"/>
                          <w:right w:val="nil"/>
                        </w:tcBorders>
                        <w:shd w:val="clear" w:color="auto" w:fill="EFEFEF"/>
                        <w:vAlign w:val="center"/>
                        <w:hideMark/>
                      </w:tcPr>
                      <w:p w:rsidR="009E6B8C" w:rsidRPr="009E6B8C" w:rsidRDefault="009E6B8C" w:rsidP="009E6B8C">
                        <w:pPr>
                          <w:spacing w:before="100" w:beforeAutospacing="1" w:after="100" w:afterAutospacing="1" w:line="240" w:lineRule="auto"/>
                          <w:outlineLvl w:val="1"/>
                          <w:rPr>
                            <w:b/>
                            <w:bCs/>
                            <w:sz w:val="36"/>
                            <w:szCs w:val="36"/>
                            <w:lang w:eastAsia="en-GB"/>
                          </w:rPr>
                        </w:pPr>
                        <w:r w:rsidRPr="009E6B8C">
                          <w:rPr>
                            <w:rFonts w:ascii="Helvetica" w:hAnsi="Helvetica"/>
                            <w:color w:val="464646"/>
                            <w:sz w:val="54"/>
                            <w:szCs w:val="54"/>
                            <w:lang w:eastAsia="en-GB"/>
                          </w:rPr>
                          <w:t xml:space="preserve">New post on </w:t>
                        </w:r>
                        <w:r w:rsidRPr="009E6B8C">
                          <w:rPr>
                            <w:rFonts w:ascii="Helvetica" w:hAnsi="Helvetica"/>
                            <w:b/>
                            <w:bCs/>
                            <w:color w:val="464646"/>
                            <w:sz w:val="54"/>
                            <w:szCs w:val="54"/>
                            <w:lang w:eastAsia="en-GB"/>
                          </w:rPr>
                          <w:t>UK Constitutional Law Group</w:t>
                        </w:r>
                        <w:r w:rsidRPr="009E6B8C">
                          <w:rPr>
                            <w:rFonts w:ascii="Helvetica" w:hAnsi="Helvetica"/>
                            <w:color w:val="464646"/>
                            <w:sz w:val="54"/>
                            <w:szCs w:val="54"/>
                            <w:lang w:eastAsia="en-GB"/>
                          </w:rPr>
                          <w:t xml:space="preserve"> </w:t>
                        </w:r>
                      </w:p>
                    </w:tc>
                    <w:tc>
                      <w:tcPr>
                        <w:tcW w:w="0" w:type="auto"/>
                        <w:tcBorders>
                          <w:top w:val="nil"/>
                          <w:left w:val="nil"/>
                          <w:bottom w:val="nil"/>
                          <w:right w:val="nil"/>
                        </w:tcBorders>
                        <w:shd w:val="clear" w:color="auto" w:fill="EFEFEF"/>
                        <w:vAlign w:val="center"/>
                        <w:hideMark/>
                      </w:tcPr>
                      <w:p w:rsidR="009E6B8C" w:rsidRPr="009E6B8C" w:rsidRDefault="009E6B8C" w:rsidP="009E6B8C">
                        <w:pPr>
                          <w:spacing w:before="100" w:beforeAutospacing="1" w:after="100" w:afterAutospacing="1" w:line="240" w:lineRule="auto"/>
                          <w:jc w:val="right"/>
                          <w:rPr>
                            <w:szCs w:val="24"/>
                            <w:lang w:eastAsia="en-GB"/>
                          </w:rPr>
                        </w:pPr>
                        <w:r w:rsidRPr="009E6B8C">
                          <w:rPr>
                            <w:rFonts w:ascii="Arial" w:hAnsi="Arial" w:cs="Arial"/>
                            <w:noProof/>
                            <w:color w:val="0088CC"/>
                            <w:sz w:val="30"/>
                            <w:szCs w:val="30"/>
                            <w:lang w:eastAsia="en-GB"/>
                          </w:rPr>
                          <mc:AlternateContent>
                            <mc:Choice Requires="wps">
                              <w:drawing>
                                <wp:inline distT="0" distB="0" distL="0" distR="0" wp14:anchorId="72F6DB84" wp14:editId="03503C56">
                                  <wp:extent cx="304800" cy="304800"/>
                                  <wp:effectExtent l="0" t="0" r="0" b="0"/>
                                  <wp:docPr id="4" name="ecx_x0000_i1025" descr="https://dub112.mail.live.com/Handlers/ImageProxy.mvc?bicild=&amp;canary=RpPcD6En3fcGdWt4AVxBOPlfuJvc256tDUOHMBirgI4%3d0&amp;url=http%3a%2f%2f1.gravatar.com%2fblavatar%2f98b4662e52196e331eab16fde00ca5da%3fs%3d32%26ts%3d1361608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ecx_x0000_i1025" o:spid="_x0000_s1026" alt="https://dub112.mail.live.com/Handlers/ImageProxy.mvc?bicild=&amp;canary=RpPcD6En3fcGdWt4AVxBOPlfuJvc256tDUOHMBirgI4%3d0&amp;url=http%3a%2f%2f1.gravatar.com%2fblavatar%2f98b4662e52196e331eab16fde00ca5da%3fs%3d32%26ts%3d13616082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UhXOI&#10;bAMAAKgGAAAOAAAAAAAAAAAAAAAAAC4CAABkcnMvZTJvRG9jLnhtbFBLAQItABQABgAIAAAAIQBM&#10;oOks2AAAAAMBAAAPAAAAAAAAAAAAAAAAAMYFAABkcnMvZG93bnJldi54bWxQSwUGAAAAAAQABADz&#10;AAAAywYAAAAA&#10;" filled="f" stroked="f">
                                  <o:lock v:ext="edit" aspectratio="t"/>
                                  <w10:anchorlock/>
                                </v:rect>
                              </w:pict>
                            </mc:Fallback>
                          </mc:AlternateContent>
                        </w:r>
                      </w:p>
                    </w:tc>
                  </w:tr>
                </w:tbl>
                <w:p w:rsidR="009E6B8C" w:rsidRPr="009E6B8C" w:rsidRDefault="009E6B8C" w:rsidP="009E6B8C">
                  <w:pPr>
                    <w:spacing w:before="100" w:beforeAutospacing="1" w:after="100" w:afterAutospacing="1" w:line="240" w:lineRule="auto"/>
                    <w:rPr>
                      <w:szCs w:val="24"/>
                      <w:lang w:eastAsia="en-GB"/>
                    </w:rPr>
                  </w:pPr>
                  <w:r w:rsidRPr="009E6B8C">
                    <w:rPr>
                      <w:rFonts w:ascii="Arial" w:hAnsi="Arial" w:cs="Arial"/>
                      <w:sz w:val="19"/>
                      <w:szCs w:val="19"/>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9E6B8C" w:rsidRPr="009E6B8C">
                    <w:trPr>
                      <w:tblCellSpacing w:w="0" w:type="dxa"/>
                    </w:trPr>
                    <w:tc>
                      <w:tcPr>
                        <w:tcW w:w="0" w:type="auto"/>
                        <w:shd w:val="clear" w:color="auto" w:fill="FFFFFF"/>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38"/>
                        </w:tblGrid>
                        <w:tr w:rsidR="009E6B8C" w:rsidRPr="009E6B8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6"/>
                                <w:gridCol w:w="8282"/>
                              </w:tblGrid>
                              <w:tr w:rsidR="009E6B8C" w:rsidRPr="009E6B8C">
                                <w:trPr>
                                  <w:tblCellSpacing w:w="0" w:type="dxa"/>
                                </w:trPr>
                                <w:tc>
                                  <w:tcPr>
                                    <w:tcW w:w="0" w:type="auto"/>
                                    <w:noWrap/>
                                    <w:hideMark/>
                                  </w:tcPr>
                                  <w:p w:rsidR="009E6B8C" w:rsidRPr="009E6B8C" w:rsidRDefault="009E6B8C" w:rsidP="009E6B8C">
                                    <w:pPr>
                                      <w:spacing w:before="100" w:beforeAutospacing="1" w:after="100" w:afterAutospacing="1" w:line="240" w:lineRule="auto"/>
                                      <w:rPr>
                                        <w:szCs w:val="24"/>
                                        <w:lang w:eastAsia="en-GB"/>
                                      </w:rPr>
                                    </w:pPr>
                                    <w:r w:rsidRPr="009E6B8C">
                                      <w:rPr>
                                        <w:rFonts w:ascii="Arial" w:hAnsi="Arial" w:cs="Arial"/>
                                        <w:noProof/>
                                        <w:color w:val="2585B2"/>
                                        <w:sz w:val="19"/>
                                        <w:szCs w:val="19"/>
                                        <w:lang w:eastAsia="en-GB"/>
                                      </w:rPr>
                                      <mc:AlternateContent>
                                        <mc:Choice Requires="wps">
                                          <w:drawing>
                                            <wp:inline distT="0" distB="0" distL="0" distR="0" wp14:anchorId="38275994" wp14:editId="58A44E4B">
                                              <wp:extent cx="480060" cy="480060"/>
                                              <wp:effectExtent l="0" t="0" r="0" b="0"/>
                                              <wp:docPr id="3" name="ecx_x0000_i1026" descr="https://dub112.mail.live.com/Handlers/ImageProxy.mvc?bicild=&amp;canary=RpPcD6En3fcGdWt4AVxBOPlfuJvc256tDUOHMBirgI4%3d0&amp;url=http%3a%2f%2f1.gravatar.com%2favatar%2fadafbc933014edb5d23533ac9860ef9b%3fs%3d50%26d%3didenticon%26r%3d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ecx_x0000_i1026" o:spid="_x0000_s1026" alt="https://dub112.mail.live.com/Handlers/ImageProxy.mvc?bicild=&amp;canary=RpPcD6En3fcGdWt4AVxBOPlfuJvc256tDUOHMBirgI4%3d0&amp;url=http%3a%2f%2f1.gravatar.com%2favatar%2fadafbc933014edb5d23533ac9860ef9b%3fs%3d50%26d%3didenticon%26r%3d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" filled="f" stroked="f">
                                              <o:lock v:ext="edit" aspectratio="t"/>
                                              <w10:anchorlock/>
                                            </v:rect>
                                          </w:pict>
                                        </mc:Fallback>
                                      </mc:AlternateContent>
                                    </w:r>
                                  </w:p>
                                </w:tc>
                                <w:tc>
                                  <w:tcPr>
                                    <w:tcW w:w="0" w:type="auto"/>
                                    <w:vAlign w:val="center"/>
                                    <w:hideMark/>
                                  </w:tcPr>
                                  <w:p w:rsidR="009E6B8C" w:rsidRPr="009E6B8C" w:rsidRDefault="001856FF" w:rsidP="009E6B8C">
                                    <w:pPr>
                                      <w:spacing w:before="100" w:beforeAutospacing="1" w:after="100" w:afterAutospacing="1" w:line="240" w:lineRule="auto"/>
                                      <w:outlineLvl w:val="1"/>
                                      <w:rPr>
                                        <w:b/>
                                        <w:bCs/>
                                        <w:sz w:val="36"/>
                                        <w:szCs w:val="36"/>
                                        <w:lang w:eastAsia="en-GB"/>
                                      </w:rPr>
                                    </w:pPr>
                                    <w:hyperlink r:id="rId5" w:tgtFrame="_blank" w:history="1">
                                      <w:r w:rsidR="009E6B8C" w:rsidRPr="009E6B8C">
                                        <w:rPr>
                                          <w:rFonts w:ascii="Arial" w:hAnsi="Arial" w:cs="Arial"/>
                                          <w:b/>
                                          <w:bCs/>
                                          <w:color w:val="2585B2"/>
                                          <w:sz w:val="30"/>
                                          <w:szCs w:val="30"/>
                                          <w:u w:val="single"/>
                                          <w:lang w:eastAsia="en-GB"/>
                                        </w:rPr>
                                        <w:t>Brice Dickson and Colin Harvey: Options on the way forward for human rights in Northern Ireland</w:t>
                                      </w:r>
                                    </w:hyperlink>
                                  </w:p>
                                  <w:p w:rsidR="009E6B8C" w:rsidRPr="009E6B8C" w:rsidRDefault="009E6B8C" w:rsidP="009E6B8C">
                                    <w:pPr>
                                      <w:spacing w:before="100" w:beforeAutospacing="1" w:after="100" w:afterAutospacing="1" w:line="240" w:lineRule="auto"/>
                                      <w:rPr>
                                        <w:szCs w:val="24"/>
                                        <w:lang w:eastAsia="en-GB"/>
                                      </w:rPr>
                                    </w:pPr>
                                    <w:r w:rsidRPr="009E6B8C">
                                      <w:rPr>
                                        <w:rFonts w:ascii="Arial" w:hAnsi="Arial" w:cs="Arial"/>
                                        <w:color w:val="888888"/>
                                        <w:sz w:val="19"/>
                                        <w:szCs w:val="19"/>
                                        <w:lang w:eastAsia="en-GB"/>
                                      </w:rPr>
                                      <w:t xml:space="preserve">by </w:t>
                                    </w:r>
                                    <w:hyperlink r:id="rId6" w:tgtFrame="_blank" w:history="1">
                                      <w:r w:rsidRPr="009E6B8C">
                                        <w:rPr>
                                          <w:rFonts w:ascii="Arial" w:hAnsi="Arial" w:cs="Arial"/>
                                          <w:color w:val="2585B2"/>
                                          <w:sz w:val="19"/>
                                          <w:szCs w:val="19"/>
                                          <w:u w:val="single"/>
                                          <w:lang w:eastAsia="en-GB"/>
                                        </w:rPr>
                                        <w:t>Constitutional Law Group</w:t>
                                      </w:r>
                                    </w:hyperlink>
                                    <w:r w:rsidRPr="009E6B8C">
                                      <w:rPr>
                                        <w:rFonts w:ascii="Arial" w:hAnsi="Arial" w:cs="Arial"/>
                                        <w:sz w:val="19"/>
                                        <w:szCs w:val="19"/>
                                        <w:lang w:eastAsia="en-GB"/>
                                      </w:rPr>
                                      <w:t xml:space="preserve"> </w:t>
                                    </w:r>
                                  </w:p>
                                </w:tc>
                              </w:tr>
                            </w:tbl>
                            <w:p w:rsidR="009E6B8C" w:rsidRPr="009E6B8C" w:rsidRDefault="009E6B8C" w:rsidP="009E6B8C">
                              <w:pPr>
                                <w:spacing w:before="100" w:beforeAutospacing="1" w:after="100" w:afterAutospacing="1" w:line="336" w:lineRule="atLeast"/>
                                <w:rPr>
                                  <w:szCs w:val="24"/>
                                  <w:lang w:eastAsia="en-GB"/>
                                </w:rPr>
                              </w:pPr>
                              <w:r w:rsidRPr="009E6B8C">
                                <w:rPr>
                                  <w:rFonts w:ascii="Helvetica" w:hAnsi="Helvetica"/>
                                  <w:noProof/>
                                  <w:color w:val="2585B2"/>
                                  <w:sz w:val="21"/>
                                  <w:szCs w:val="21"/>
                                  <w:lang w:eastAsia="en-GB"/>
                                </w:rPr>
                                <mc:AlternateContent>
                                  <mc:Choice Requires="wps">
                                    <w:drawing>
                                      <wp:inline distT="0" distB="0" distL="0" distR="0" wp14:anchorId="325C87B0" wp14:editId="22CE28C1">
                                        <wp:extent cx="304800" cy="304800"/>
                                        <wp:effectExtent l="0" t="0" r="0" b="0"/>
                                        <wp:docPr id="2" name="ecx_x0000_i1027" descr="Col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ecx_x0000_i1027" o:spid="_x0000_s1026" alt="Col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nCww&#10;7MICAADJ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9E6B8C">
                                <w:rPr>
                                  <w:rFonts w:ascii="Helvetica" w:hAnsi="Helvetica"/>
                                  <w:noProof/>
                                  <w:color w:val="2585B2"/>
                                  <w:sz w:val="21"/>
                                  <w:szCs w:val="21"/>
                                  <w:lang w:eastAsia="en-GB"/>
                                </w:rPr>
                                <mc:AlternateContent>
                                  <mc:Choice Requires="wps">
                                    <w:drawing>
                                      <wp:inline distT="0" distB="0" distL="0" distR="0" wp14:anchorId="59FE4855" wp14:editId="0B29C504">
                                        <wp:extent cx="304800" cy="304800"/>
                                        <wp:effectExtent l="0" t="0" r="0" b="0"/>
                                        <wp:docPr id="1" name="ecx_x0000_i1028" descr="Br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ecx_x0000_i1028" o:spid="_x0000_s1026" alt="Br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TFM1LA&#10;AgAAyQ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9E6B8C">
                                <w:rPr>
                                  <w:rFonts w:ascii="Helvetica" w:hAnsi="Helvetica"/>
                                  <w:color w:val="444444"/>
                                  <w:sz w:val="21"/>
                                  <w:szCs w:val="21"/>
                                  <w:lang w:eastAsia="en-GB"/>
                                </w:rPr>
                                <w:t>Advice on a Bill of Rights for Northern Ireland, submitted to the Secretary of State by the Northern Ireland Human Rights Commission in 2008, was roundly rejected by the UK government in 2009 and there seems to be little appetite within the Northern Ireland Office for revisiting the issue in the foreseeable future. In London, the coalition government’s Commission on a UK Bill of Rights, set up in 2011, reported in 2012 but could not suggest an agreed way forward on a UK basis. In Scotland, on the other hand, bearing in mind the forthcoming referendum on independence in 2014, there is renewed interest in whether legislation should be passed by the Scottish Parliament to guarantee a range of social and economic rights. The Republic of Ireland, for its part, is currently re-examining its Constitution and has recently voted in a referendum to enhance the protection of children’s rights.</w:t>
                              </w:r>
                            </w:p>
                            <w:p w:rsidR="009E6B8C" w:rsidRPr="009E6B8C" w:rsidRDefault="009E6B8C" w:rsidP="009E6B8C">
                              <w:pPr>
                                <w:spacing w:before="100" w:beforeAutospacing="1" w:after="100" w:afterAutospacing="1" w:line="336" w:lineRule="atLeast"/>
                                <w:rPr>
                                  <w:szCs w:val="24"/>
                                  <w:lang w:eastAsia="en-GB"/>
                                </w:rPr>
                              </w:pPr>
                              <w:r w:rsidRPr="009E6B8C">
                                <w:rPr>
                                  <w:rFonts w:ascii="Helvetica" w:hAnsi="Helvetica"/>
                                  <w:color w:val="444444"/>
                                  <w:sz w:val="21"/>
                                  <w:szCs w:val="21"/>
                                  <w:lang w:eastAsia="en-GB"/>
                                </w:rPr>
                                <w:t>As the nature and extent of the protection of rights continue to vary within these islands, we think it is worthwhile putting forward a list of options for what might next be done in this context within Northern Ireland. We are doing so under the auspices of the Human Rights Centre in the School of Law at Queen’s University Belfast. The Centre is keen to play a leading role in promoting critical thought and further discussion about this issue. We believe that Universities must play their part in encouraging such society-wide debates.</w:t>
                              </w:r>
                            </w:p>
                            <w:p w:rsidR="009E6B8C" w:rsidRPr="009E6B8C" w:rsidRDefault="009E6B8C" w:rsidP="009E6B8C">
                              <w:pPr>
                                <w:spacing w:before="100" w:beforeAutospacing="1" w:after="100" w:afterAutospacing="1" w:line="336" w:lineRule="atLeast"/>
                                <w:rPr>
                                  <w:szCs w:val="24"/>
                                  <w:lang w:eastAsia="en-GB"/>
                                </w:rPr>
                              </w:pPr>
                              <w:r w:rsidRPr="009E6B8C">
                                <w:rPr>
                                  <w:rFonts w:ascii="Helvetica" w:hAnsi="Helvetica"/>
                                  <w:color w:val="444444"/>
                                  <w:sz w:val="21"/>
                                  <w:szCs w:val="21"/>
                                  <w:lang w:eastAsia="en-GB"/>
                                </w:rPr>
                                <w:t>Option 1, of course, would be to do nothing regarding the protection of human rights in Northern Ireland. For those who favour that approach such a position is fine. We do not ourselves want to let things rest where they are. We would prefer to keep talking and thinking about how best to enhance the protection of rights in a way that works to the benefit of everyone in Northern Ireland.</w:t>
                              </w:r>
                            </w:p>
                            <w:p w:rsidR="009E6B8C" w:rsidRPr="009E6B8C" w:rsidRDefault="009E6B8C" w:rsidP="009E6B8C">
                              <w:pPr>
                                <w:spacing w:before="100" w:beforeAutospacing="1" w:after="100" w:afterAutospacing="1" w:line="336" w:lineRule="atLeast"/>
                                <w:rPr>
                                  <w:szCs w:val="24"/>
                                  <w:lang w:eastAsia="en-GB"/>
                                </w:rPr>
                              </w:pPr>
                              <w:r w:rsidRPr="009E6B8C">
                                <w:rPr>
                                  <w:rFonts w:ascii="Helvetica" w:hAnsi="Helvetica"/>
                                  <w:color w:val="444444"/>
                                  <w:sz w:val="21"/>
                                  <w:szCs w:val="21"/>
                                  <w:lang w:eastAsia="en-GB"/>
                                </w:rPr>
                                <w:t xml:space="preserve">Option 2 would be to push harder for government acceptance of the NIHRC’s advice on a Bill of Rights. There may be some legal merit in that approach but there are also likely to be very </w:t>
                              </w:r>
                              <w:r w:rsidRPr="009E6B8C">
                                <w:rPr>
                                  <w:rFonts w:ascii="Helvetica" w:hAnsi="Helvetica"/>
                                  <w:color w:val="444444"/>
                                  <w:sz w:val="21"/>
                                  <w:szCs w:val="21"/>
                                  <w:lang w:eastAsia="en-GB"/>
                                </w:rPr>
                                <w:lastRenderedPageBreak/>
                                <w:t>significant political difficulties in doing so. No doubt the NIHRC will itself wish to continue to promote its thinking, and there may be others who will want to support them in doing so. But we believe there are further options which are worth considering too.</w:t>
                              </w:r>
                            </w:p>
                            <w:p w:rsidR="009E6B8C" w:rsidRPr="009E6B8C" w:rsidRDefault="009E6B8C" w:rsidP="009E6B8C">
                              <w:pPr>
                                <w:spacing w:before="100" w:beforeAutospacing="1" w:after="100" w:afterAutospacing="1" w:line="336" w:lineRule="atLeast"/>
                                <w:rPr>
                                  <w:szCs w:val="24"/>
                                  <w:lang w:eastAsia="en-GB"/>
                                </w:rPr>
                              </w:pPr>
                              <w:r w:rsidRPr="009E6B8C">
                                <w:rPr>
                                  <w:rFonts w:ascii="Helvetica" w:hAnsi="Helvetica"/>
                                  <w:color w:val="444444"/>
                                  <w:sz w:val="21"/>
                                  <w:szCs w:val="21"/>
                                  <w:lang w:eastAsia="en-GB"/>
                                </w:rPr>
                                <w:t>Option 3 – less ambitiously perhaps – would be to nudge matters forward by bringing people together to consider in a transparent and honest way the full range of means by which human rights could be better protected in Northern Ireland, including perhaps by a Bill of Rights. Doing so will raise at least four further issues which will need to be considered, namely:</w:t>
                              </w:r>
                            </w:p>
                            <w:p w:rsidR="009E6B8C" w:rsidRPr="009E6B8C" w:rsidRDefault="009E6B8C" w:rsidP="009E6B8C">
                              <w:pPr>
                                <w:spacing w:before="100" w:beforeAutospacing="1" w:after="100" w:afterAutospacing="1" w:line="336" w:lineRule="atLeast"/>
                                <w:rPr>
                                  <w:szCs w:val="24"/>
                                  <w:lang w:eastAsia="en-GB"/>
                                </w:rPr>
                              </w:pPr>
                              <w:r w:rsidRPr="009E6B8C">
                                <w:rPr>
                                  <w:rFonts w:ascii="Helvetica" w:hAnsi="Helvetica"/>
                                  <w:color w:val="444444"/>
                                  <w:sz w:val="21"/>
                                  <w:szCs w:val="21"/>
                                  <w:lang w:eastAsia="en-GB"/>
                                </w:rPr>
                                <w:t>(1)  Which, if any, human rights are not fully enough protected in Northern Ireland at the moment?</w:t>
                              </w:r>
                            </w:p>
                            <w:p w:rsidR="009E6B8C" w:rsidRPr="009E6B8C" w:rsidRDefault="009E6B8C" w:rsidP="009E6B8C">
                              <w:pPr>
                                <w:spacing w:before="100" w:beforeAutospacing="1" w:after="100" w:afterAutospacing="1" w:line="336" w:lineRule="atLeast"/>
                                <w:rPr>
                                  <w:szCs w:val="24"/>
                                  <w:lang w:eastAsia="en-GB"/>
                                </w:rPr>
                              </w:pPr>
                              <w:r w:rsidRPr="009E6B8C">
                                <w:rPr>
                                  <w:rFonts w:ascii="Helvetica" w:hAnsi="Helvetica"/>
                                  <w:color w:val="444444"/>
                                  <w:sz w:val="21"/>
                                  <w:szCs w:val="21"/>
                                  <w:lang w:eastAsia="en-GB"/>
                                </w:rPr>
                                <w:t xml:space="preserve">(2)  How might </w:t>
                              </w:r>
                              <w:proofErr w:type="spellStart"/>
                              <w:r w:rsidRPr="009E6B8C">
                                <w:rPr>
                                  <w:rFonts w:ascii="Helvetica" w:hAnsi="Helvetica"/>
                                  <w:color w:val="444444"/>
                                  <w:sz w:val="21"/>
                                  <w:szCs w:val="21"/>
                                  <w:lang w:eastAsia="en-GB"/>
                                </w:rPr>
                                <w:t>improved</w:t>
                              </w:r>
                              <w:proofErr w:type="spellEnd"/>
                              <w:r w:rsidRPr="009E6B8C">
                                <w:rPr>
                                  <w:rFonts w:ascii="Helvetica" w:hAnsi="Helvetica"/>
                                  <w:color w:val="444444"/>
                                  <w:sz w:val="21"/>
                                  <w:szCs w:val="21"/>
                                  <w:lang w:eastAsia="en-GB"/>
                                </w:rPr>
                                <w:t xml:space="preserve"> protection of those human rights be brought about?</w:t>
                              </w:r>
                            </w:p>
                            <w:p w:rsidR="009E6B8C" w:rsidRPr="009E6B8C" w:rsidRDefault="009E6B8C" w:rsidP="009E6B8C">
                              <w:pPr>
                                <w:spacing w:before="100" w:beforeAutospacing="1" w:after="100" w:afterAutospacing="1" w:line="336" w:lineRule="atLeast"/>
                                <w:rPr>
                                  <w:szCs w:val="24"/>
                                  <w:lang w:eastAsia="en-GB"/>
                                </w:rPr>
                              </w:pPr>
                              <w:r w:rsidRPr="009E6B8C">
                                <w:rPr>
                                  <w:rFonts w:ascii="Helvetica" w:hAnsi="Helvetica"/>
                                  <w:color w:val="444444"/>
                                  <w:sz w:val="21"/>
                                  <w:szCs w:val="21"/>
                                  <w:lang w:eastAsia="en-GB"/>
                                </w:rPr>
                                <w:t>(3)  What discussions need to take place to arrive at consensus answers to questions (1) and (2)?</w:t>
                              </w:r>
                            </w:p>
                            <w:p w:rsidR="009E6B8C" w:rsidRPr="009E6B8C" w:rsidRDefault="009E6B8C" w:rsidP="009E6B8C">
                              <w:pPr>
                                <w:spacing w:before="100" w:beforeAutospacing="1" w:after="100" w:afterAutospacing="1" w:line="336" w:lineRule="atLeast"/>
                                <w:rPr>
                                  <w:szCs w:val="24"/>
                                  <w:lang w:eastAsia="en-GB"/>
                                </w:rPr>
                              </w:pPr>
                              <w:r w:rsidRPr="009E6B8C">
                                <w:rPr>
                                  <w:rFonts w:ascii="Helvetica" w:hAnsi="Helvetica"/>
                                  <w:color w:val="444444"/>
                                  <w:sz w:val="21"/>
                                  <w:szCs w:val="21"/>
                                  <w:lang w:eastAsia="en-GB"/>
                                </w:rPr>
                                <w:t>(4)  How could those discussions be facilitated?</w:t>
                              </w:r>
                            </w:p>
                            <w:p w:rsidR="009E6B8C" w:rsidRPr="009E6B8C" w:rsidRDefault="009E6B8C" w:rsidP="009E6B8C">
                              <w:pPr>
                                <w:spacing w:before="100" w:beforeAutospacing="1" w:after="100" w:afterAutospacing="1" w:line="336" w:lineRule="atLeast"/>
                                <w:rPr>
                                  <w:szCs w:val="24"/>
                                  <w:lang w:eastAsia="en-GB"/>
                                </w:rPr>
                              </w:pPr>
                              <w:r w:rsidRPr="009E6B8C">
                                <w:rPr>
                                  <w:rFonts w:ascii="Helvetica" w:hAnsi="Helvetica"/>
                                  <w:color w:val="444444"/>
                                  <w:sz w:val="21"/>
                                  <w:szCs w:val="21"/>
                                  <w:lang w:eastAsia="en-GB"/>
                                </w:rPr>
                                <w:t>We accept that consensus answers to questions (1) and (2) need to be reached primarily at a political level within Northern Ireland and that unionist and nationalist parties currently hold different views about the degree to which human rights need to be protected in Northern Ireland. We are firmly of the opinion, however, that reaching such consensus is possible. We believe that doing so would bring greater stability to the political arrangements in Northern Ireland, better define and protect the various identities of all the people living in Northern Ireland, and help to bring about a truly shared society based on respect for the rights of everyone. It might also help to reassure those factions who, for whatever reason, are antagonistic to the peace process as underpinned by the Good Friday Agreement of 1998 and the St Andrews Agreement of 2006.</w:t>
                              </w:r>
                            </w:p>
                            <w:p w:rsidR="009E6B8C" w:rsidRPr="009E6B8C" w:rsidRDefault="009E6B8C" w:rsidP="009E6B8C">
                              <w:pPr>
                                <w:spacing w:before="100" w:beforeAutospacing="1" w:after="100" w:afterAutospacing="1" w:line="336" w:lineRule="atLeast"/>
                                <w:rPr>
                                  <w:szCs w:val="24"/>
                                  <w:lang w:eastAsia="en-GB"/>
                                </w:rPr>
                              </w:pPr>
                              <w:r w:rsidRPr="009E6B8C">
                                <w:rPr>
                                  <w:rFonts w:ascii="Helvetica" w:hAnsi="Helvetica"/>
                                  <w:color w:val="444444"/>
                                  <w:sz w:val="21"/>
                                  <w:szCs w:val="21"/>
                                  <w:lang w:eastAsia="en-GB"/>
                                </w:rPr>
                                <w:t>Our aim here is to initiate an inclusive discussion with all those committed to enhanced human rights protection and promotion. We look forward to continuing the conversation across these islands.</w:t>
                              </w:r>
                            </w:p>
                            <w:p w:rsidR="009E6B8C" w:rsidRPr="009E6B8C" w:rsidRDefault="009E6B8C" w:rsidP="009E6B8C">
                              <w:pPr>
                                <w:spacing w:before="100" w:beforeAutospacing="1" w:after="100" w:afterAutospacing="1" w:line="336" w:lineRule="atLeast"/>
                                <w:jc w:val="right"/>
                                <w:rPr>
                                  <w:szCs w:val="24"/>
                                  <w:lang w:eastAsia="en-GB"/>
                                </w:rPr>
                              </w:pPr>
                              <w:r w:rsidRPr="009E6B8C">
                                <w:rPr>
                                  <w:rFonts w:ascii="Helvetica" w:hAnsi="Helvetica"/>
                                  <w:i/>
                                  <w:iCs/>
                                  <w:color w:val="444444"/>
                                  <w:sz w:val="21"/>
                                  <w:szCs w:val="21"/>
                                  <w:lang w:eastAsia="en-GB"/>
                                </w:rPr>
                                <w:t>Brice Dickson and Colin Harvey are based at the Human Rights Centre, School of Law, Queen’s University Belfast</w:t>
                              </w:r>
                            </w:p>
                            <w:p w:rsidR="009E6B8C" w:rsidRPr="009E6B8C" w:rsidRDefault="009E6B8C" w:rsidP="009E6B8C">
                              <w:pPr>
                                <w:spacing w:before="100" w:beforeAutospacing="1" w:after="100" w:afterAutospacing="1" w:line="336" w:lineRule="atLeast"/>
                                <w:jc w:val="right"/>
                                <w:rPr>
                                  <w:szCs w:val="24"/>
                                  <w:lang w:eastAsia="en-GB"/>
                                </w:rPr>
                              </w:pPr>
                              <w:r w:rsidRPr="009E6B8C">
                                <w:rPr>
                                  <w:rFonts w:ascii="Helvetica" w:hAnsi="Helvetica"/>
                                  <w:color w:val="444444"/>
                                  <w:sz w:val="21"/>
                                  <w:szCs w:val="21"/>
                                  <w:lang w:eastAsia="en-GB"/>
                                </w:rPr>
                                <w:t>Suggested citation: B. Dickson and C. Harvey, 'Options on the way forward for human rights in Northern Ireland' UK Const. L. Blog (23rd February 2013) (available at </w:t>
                              </w:r>
                              <w:hyperlink r:id="rId7" w:tgtFrame="_blank" w:history="1">
                                <w:r w:rsidRPr="009E6B8C">
                                  <w:rPr>
                                    <w:rFonts w:ascii="Helvetica" w:hAnsi="Helvetica"/>
                                    <w:color w:val="2585B2"/>
                                    <w:sz w:val="21"/>
                                    <w:szCs w:val="21"/>
                                    <w:u w:val="single"/>
                                    <w:lang w:eastAsia="en-GB"/>
                                  </w:rPr>
                                  <w:t>http://ukconstitutionallaw.org</w:t>
                                </w:r>
                              </w:hyperlink>
                              <w:r w:rsidRPr="009E6B8C">
                                <w:rPr>
                                  <w:rFonts w:ascii="Helvetica" w:hAnsi="Helvetica"/>
                                  <w:color w:val="444444"/>
                                  <w:sz w:val="21"/>
                                  <w:szCs w:val="21"/>
                                  <w:lang w:eastAsia="en-GB"/>
                                </w:rPr>
                                <w:t>)</w:t>
                              </w:r>
                            </w:p>
                            <w:p w:rsidR="009E6B8C" w:rsidRPr="009E6B8C" w:rsidRDefault="001856FF" w:rsidP="009E6B8C">
                              <w:pPr>
                                <w:spacing w:before="100" w:beforeAutospacing="1" w:after="100" w:afterAutospacing="1" w:line="384" w:lineRule="auto"/>
                                <w:rPr>
                                  <w:szCs w:val="24"/>
                                  <w:lang w:eastAsia="en-GB"/>
                                </w:rPr>
                              </w:pPr>
                              <w:hyperlink r:id="rId8" w:tgtFrame="_blank" w:history="1">
                                <w:r w:rsidR="009E6B8C" w:rsidRPr="009E6B8C">
                                  <w:rPr>
                                    <w:rFonts w:ascii="Arial" w:hAnsi="Arial" w:cs="Arial"/>
                                    <w:b/>
                                    <w:bCs/>
                                    <w:color w:val="2585B2"/>
                                    <w:sz w:val="17"/>
                                    <w:szCs w:val="17"/>
                                    <w:u w:val="single"/>
                                    <w:lang w:eastAsia="en-GB"/>
                                  </w:rPr>
                                  <w:t>Constitutional Law Group</w:t>
                                </w:r>
                              </w:hyperlink>
                              <w:r w:rsidR="009E6B8C" w:rsidRPr="009E6B8C">
                                <w:rPr>
                                  <w:rFonts w:ascii="Arial" w:hAnsi="Arial" w:cs="Arial"/>
                                  <w:color w:val="999999"/>
                                  <w:sz w:val="17"/>
                                  <w:szCs w:val="17"/>
                                  <w:lang w:eastAsia="en-GB"/>
                                </w:rPr>
                                <w:t xml:space="preserve"> | February 23, 2013 at 8:30 am | Tags: </w:t>
                              </w:r>
                              <w:hyperlink r:id="rId9" w:tgtFrame="_blank" w:history="1">
                                <w:r w:rsidR="009E6B8C" w:rsidRPr="009E6B8C">
                                  <w:rPr>
                                    <w:rFonts w:ascii="Arial" w:hAnsi="Arial" w:cs="Arial"/>
                                    <w:color w:val="2585B2"/>
                                    <w:sz w:val="17"/>
                                    <w:szCs w:val="17"/>
                                    <w:u w:val="single"/>
                                    <w:lang w:eastAsia="en-GB"/>
                                  </w:rPr>
                                  <w:t>Bill of Rights for Northern Ireland</w:t>
                                </w:r>
                              </w:hyperlink>
                              <w:r w:rsidR="009E6B8C" w:rsidRPr="009E6B8C">
                                <w:rPr>
                                  <w:rFonts w:ascii="Arial" w:hAnsi="Arial" w:cs="Arial"/>
                                  <w:color w:val="999999"/>
                                  <w:sz w:val="17"/>
                                  <w:szCs w:val="17"/>
                                  <w:lang w:eastAsia="en-GB"/>
                                </w:rPr>
                                <w:t>,</w:t>
                              </w:r>
                            </w:p>
                          </w:tc>
                        </w:tr>
                      </w:tbl>
                      <w:p w:rsidR="009E6B8C" w:rsidRPr="009E6B8C" w:rsidRDefault="009E6B8C" w:rsidP="009E6B8C">
                        <w:pPr>
                          <w:spacing w:after="0" w:line="240" w:lineRule="auto"/>
                          <w:rPr>
                            <w:szCs w:val="24"/>
                            <w:lang w:eastAsia="en-GB"/>
                          </w:rPr>
                        </w:pPr>
                      </w:p>
                    </w:tc>
                  </w:tr>
                </w:tbl>
                <w:p w:rsidR="009E6B8C" w:rsidRPr="009E6B8C" w:rsidRDefault="009E6B8C" w:rsidP="009E6B8C">
                  <w:pPr>
                    <w:spacing w:after="0" w:line="240" w:lineRule="auto"/>
                    <w:rPr>
                      <w:szCs w:val="24"/>
                      <w:lang w:eastAsia="en-GB"/>
                    </w:rPr>
                  </w:pPr>
                </w:p>
              </w:tc>
            </w:tr>
          </w:tbl>
          <w:p w:rsidR="009E6B8C" w:rsidRPr="009E6B8C" w:rsidRDefault="009E6B8C" w:rsidP="009E6B8C">
            <w:pPr>
              <w:spacing w:after="0" w:line="240" w:lineRule="auto"/>
              <w:rPr>
                <w:szCs w:val="24"/>
                <w:lang w:eastAsia="en-GB"/>
              </w:rPr>
            </w:pPr>
          </w:p>
        </w:tc>
      </w:tr>
    </w:tbl>
    <w:p w:rsidR="00C056C8" w:rsidRDefault="001856FF"/>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36"/>
    <w:rsid w:val="001856FF"/>
    <w:rsid w:val="00427013"/>
    <w:rsid w:val="00492B51"/>
    <w:rsid w:val="00591367"/>
    <w:rsid w:val="00757ABE"/>
    <w:rsid w:val="008C43D8"/>
    <w:rsid w:val="008F245B"/>
    <w:rsid w:val="009E6B8C"/>
    <w:rsid w:val="00BE1BA4"/>
    <w:rsid w:val="00CD0836"/>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594139">
      <w:bodyDiv w:val="1"/>
      <w:marLeft w:val="0"/>
      <w:marRight w:val="0"/>
      <w:marTop w:val="0"/>
      <w:marBottom w:val="0"/>
      <w:divBdr>
        <w:top w:val="none" w:sz="0" w:space="0" w:color="auto"/>
        <w:left w:val="none" w:sz="0" w:space="0" w:color="auto"/>
        <w:bottom w:val="none" w:sz="0" w:space="0" w:color="auto"/>
        <w:right w:val="none" w:sz="0" w:space="0" w:color="auto"/>
      </w:divBdr>
      <w:divsChild>
        <w:div w:id="1797479518">
          <w:marLeft w:val="0"/>
          <w:marRight w:val="0"/>
          <w:marTop w:val="0"/>
          <w:marBottom w:val="0"/>
          <w:divBdr>
            <w:top w:val="none" w:sz="0" w:space="0" w:color="auto"/>
            <w:left w:val="none" w:sz="0" w:space="0" w:color="auto"/>
            <w:bottom w:val="none" w:sz="0" w:space="0" w:color="auto"/>
            <w:right w:val="none" w:sz="0" w:space="0" w:color="auto"/>
          </w:divBdr>
          <w:divsChild>
            <w:div w:id="2039313305">
              <w:marLeft w:val="0"/>
              <w:marRight w:val="0"/>
              <w:marTop w:val="0"/>
              <w:marBottom w:val="0"/>
              <w:divBdr>
                <w:top w:val="none" w:sz="0" w:space="0" w:color="auto"/>
                <w:left w:val="none" w:sz="0" w:space="0" w:color="auto"/>
                <w:bottom w:val="none" w:sz="0" w:space="0" w:color="auto"/>
                <w:right w:val="none" w:sz="0" w:space="0" w:color="auto"/>
              </w:divBdr>
            </w:div>
            <w:div w:id="1501651321">
              <w:marLeft w:val="0"/>
              <w:marRight w:val="0"/>
              <w:marTop w:val="0"/>
              <w:marBottom w:val="0"/>
              <w:divBdr>
                <w:top w:val="single" w:sz="8" w:space="11" w:color="EEEEEE"/>
                <w:left w:val="none" w:sz="0" w:space="0" w:color="auto"/>
                <w:bottom w:val="single" w:sz="8" w:space="11" w:color="EEEEE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constitutionallaw.org/author/nwbarber1974/" TargetMode="External"/><Relationship Id="rId3" Type="http://schemas.openxmlformats.org/officeDocument/2006/relationships/settings" Target="settings.xml"/><Relationship Id="rId7" Type="http://schemas.openxmlformats.org/officeDocument/2006/relationships/hyperlink" Target="http://ukconstitutionallaw.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kconstitutionallaw.org/author/nwbarber1974/" TargetMode="External"/><Relationship Id="rId11" Type="http://schemas.openxmlformats.org/officeDocument/2006/relationships/theme" Target="theme/theme1.xml"/><Relationship Id="rId5" Type="http://schemas.openxmlformats.org/officeDocument/2006/relationships/hyperlink" Target="http://ukconstitutionallaw.org/2013/02/23/brice-dickson-and-colin-harvey-options-on-the-way-forward-for-human-rights-in-northern-irela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kconstitutionallaw.org/?tag=bill-of-rights-for-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4</cp:revision>
  <dcterms:created xsi:type="dcterms:W3CDTF">2013-03-03T14:32:00Z</dcterms:created>
  <dcterms:modified xsi:type="dcterms:W3CDTF">2019-11-22T17:02:00Z</dcterms:modified>
</cp:coreProperties>
</file>