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FB" w:rsidRPr="00A747FB" w:rsidRDefault="00A747FB" w:rsidP="00A747FB">
      <w:pPr>
        <w:spacing w:after="0" w:line="240" w:lineRule="auto"/>
        <w:jc w:val="center"/>
        <w:rPr>
          <w:rFonts w:ascii="Times New Roman" w:hAnsi="Times New Roman" w:cs="ArialMT"/>
          <w:b/>
          <w:sz w:val="24"/>
          <w:lang w:eastAsia="en-GB"/>
        </w:rPr>
      </w:pPr>
    </w:p>
    <w:p w:rsidR="00A747FB" w:rsidRPr="00A747FB" w:rsidRDefault="00A747FB" w:rsidP="00A747FB">
      <w:pPr>
        <w:spacing w:after="0" w:line="240" w:lineRule="auto"/>
        <w:jc w:val="center"/>
        <w:rPr>
          <w:rFonts w:ascii="Times New Roman" w:hAnsi="Times New Roman" w:cs="ArialMT"/>
          <w:b/>
          <w:sz w:val="24"/>
          <w:lang w:eastAsia="en-GB"/>
        </w:rPr>
      </w:pPr>
      <w:r w:rsidRPr="00A747FB">
        <w:rPr>
          <w:rFonts w:ascii="Times New Roman" w:hAnsi="Times New Roman" w:cs="ArialMT"/>
          <w:b/>
          <w:sz w:val="24"/>
          <w:lang w:eastAsia="en-GB"/>
        </w:rPr>
        <w:t>‘THE LEGACY LANDSCAPE NOW LOOKS CLEARER’</w:t>
      </w:r>
    </w:p>
    <w:p w:rsidR="00A747FB" w:rsidRPr="00A747FB" w:rsidRDefault="00A747FB" w:rsidP="00A747FB">
      <w:pPr>
        <w:spacing w:after="0" w:line="240" w:lineRule="auto"/>
        <w:jc w:val="center"/>
        <w:rPr>
          <w:rFonts w:ascii="Times New Roman" w:hAnsi="Times New Roman" w:cs="ArialMT"/>
          <w:b/>
          <w:sz w:val="24"/>
          <w:lang w:eastAsia="en-GB"/>
        </w:rPr>
      </w:pPr>
    </w:p>
    <w:p w:rsidR="00A747FB" w:rsidRPr="00A747FB" w:rsidRDefault="00A747FB" w:rsidP="00A747FB">
      <w:pPr>
        <w:spacing w:after="0" w:line="240" w:lineRule="auto"/>
        <w:jc w:val="center"/>
        <w:rPr>
          <w:rFonts w:ascii="Times New Roman" w:hAnsi="Times New Roman" w:cs="ArialMT"/>
          <w:b/>
          <w:sz w:val="24"/>
          <w:lang w:eastAsia="en-GB"/>
        </w:rPr>
      </w:pPr>
      <w:r w:rsidRPr="00A747FB">
        <w:rPr>
          <w:rFonts w:ascii="Times New Roman" w:hAnsi="Times New Roman" w:cs="ArialMT"/>
          <w:b/>
          <w:sz w:val="24"/>
          <w:lang w:eastAsia="en-GB"/>
        </w:rPr>
        <w:t>Jeffrey Dudgeon</w:t>
      </w:r>
    </w:p>
    <w:p w:rsidR="00A747FB" w:rsidRPr="00A747FB" w:rsidRDefault="00A747FB" w:rsidP="00A747FB">
      <w:pPr>
        <w:spacing w:after="0" w:line="240" w:lineRule="auto"/>
        <w:jc w:val="center"/>
        <w:rPr>
          <w:rFonts w:ascii="Times New Roman" w:hAnsi="Times New Roman" w:cs="ArialMT"/>
          <w:b/>
          <w:sz w:val="24"/>
          <w:lang w:eastAsia="en-GB"/>
        </w:rPr>
      </w:pPr>
    </w:p>
    <w:p w:rsidR="00A747FB" w:rsidRPr="00A747FB" w:rsidRDefault="00A747FB" w:rsidP="00A747FB">
      <w:pPr>
        <w:spacing w:after="0" w:line="240" w:lineRule="auto"/>
        <w:jc w:val="both"/>
        <w:rPr>
          <w:rFonts w:ascii="Times New Roman" w:hAnsi="Times New Roman" w:cs="ArialMT"/>
          <w:b/>
          <w:sz w:val="24"/>
          <w:lang w:eastAsia="en-GB"/>
        </w:rPr>
      </w:pPr>
    </w:p>
    <w:p w:rsidR="00A747FB" w:rsidRPr="00A747FB" w:rsidRDefault="00A747FB" w:rsidP="00A747FB">
      <w:pPr>
        <w:spacing w:after="0" w:line="240" w:lineRule="auto"/>
        <w:jc w:val="both"/>
        <w:rPr>
          <w:rFonts w:ascii="Times New Roman" w:hAnsi="Times New Roman" w:cs="ArialMT"/>
          <w:b/>
          <w:sz w:val="24"/>
          <w:lang w:eastAsia="en-GB"/>
        </w:rPr>
      </w:pPr>
      <w:r w:rsidRPr="00A747FB">
        <w:rPr>
          <w:rFonts w:ascii="Times New Roman" w:hAnsi="Times New Roman" w:cs="ArialMT"/>
          <w:b/>
          <w:sz w:val="24"/>
          <w:lang w:eastAsia="en-GB"/>
        </w:rPr>
        <w:t xml:space="preserve">[Legacy article for News Letter series, published 3 November 2018. </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b/>
          <w:sz w:val="24"/>
          <w:lang w:eastAsia="en-GB"/>
        </w:rPr>
        <w:t>The DUP document referred to is at:</w:t>
      </w:r>
    </w:p>
    <w:p w:rsidR="00A747FB" w:rsidRPr="00A747FB" w:rsidRDefault="00063FE0" w:rsidP="00A747FB">
      <w:pPr>
        <w:spacing w:after="0" w:line="240" w:lineRule="auto"/>
        <w:jc w:val="both"/>
        <w:rPr>
          <w:rFonts w:ascii="Times New Roman" w:hAnsi="Times New Roman" w:cs="ArialMT"/>
          <w:sz w:val="24"/>
          <w:lang w:eastAsia="en-GB"/>
        </w:rPr>
      </w:pPr>
      <w:hyperlink r:id="rId6" w:history="1">
        <w:r w:rsidR="00A747FB" w:rsidRPr="00A747FB">
          <w:rPr>
            <w:rFonts w:ascii="Times New Roman" w:hAnsi="Times New Roman" w:cs="ArialMT"/>
            <w:color w:val="0000FF" w:themeColor="hyperlink"/>
            <w:sz w:val="24"/>
            <w:u w:val="single"/>
            <w:lang w:eastAsia="en-GB"/>
          </w:rPr>
          <w:t>http://www.mydup.com/images/uploads/publications/DUP_Response_to_NIO_Legacy_Consultation.pdf</w:t>
        </w:r>
      </w:hyperlink>
      <w:r w:rsidR="00A747FB" w:rsidRPr="00A747FB">
        <w:rPr>
          <w:rFonts w:ascii="Times New Roman" w:hAnsi="Times New Roman" w:cs="ArialMT"/>
          <w:sz w:val="24"/>
        </w:rPr>
        <w:t>]</w:t>
      </w:r>
      <w:r w:rsidR="00A747FB" w:rsidRPr="00A747FB">
        <w:rPr>
          <w:rFonts w:ascii="Times New Roman" w:hAnsi="Times New Roman" w:cs="ArialMT"/>
          <w:sz w:val="24"/>
          <w:lang w:eastAsia="en-GB"/>
        </w:rPr>
        <w:t xml:space="preserve"> </w:t>
      </w:r>
    </w:p>
    <w:p w:rsidR="00A747FB" w:rsidRPr="00A747FB" w:rsidRDefault="00A747FB" w:rsidP="00A747FB">
      <w:pPr>
        <w:spacing w:after="0" w:line="240" w:lineRule="auto"/>
        <w:jc w:val="both"/>
        <w:rPr>
          <w:rFonts w:ascii="Times New Roman" w:hAnsi="Times New Roman" w:cs="ArialMT"/>
          <w:sz w:val="24"/>
          <w:lang w:eastAsia="en-GB"/>
        </w:rPr>
      </w:pP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 xml:space="preserve">We have now reached a watershed in the Legacy process with the NIO consultation closed. While the government is in existential crisis over Brexit, it won’t be surprising </w:t>
      </w:r>
      <w:r w:rsidRPr="00A747FB">
        <w:rPr>
          <w:rFonts w:ascii="Times New Roman" w:eastAsia="Times New Roman" w:hAnsi="Times New Roman" w:cs="Times New Roman"/>
          <w:sz w:val="24"/>
        </w:rPr>
        <w:t>–</w:t>
      </w:r>
      <w:r w:rsidRPr="00A747FB">
        <w:rPr>
          <w:rFonts w:ascii="Times New Roman" w:hAnsi="Times New Roman" w:cs="ArialMT"/>
          <w:sz w:val="24"/>
          <w:lang w:eastAsia="en-GB"/>
        </w:rPr>
        <w:t xml:space="preserve"> considering also the myriad of submissions </w:t>
      </w:r>
      <w:r w:rsidRPr="00A747FB">
        <w:rPr>
          <w:rFonts w:ascii="Times New Roman" w:eastAsia="Times New Roman" w:hAnsi="Times New Roman" w:cs="Times New Roman"/>
          <w:sz w:val="24"/>
        </w:rPr>
        <w:t xml:space="preserve">– </w:t>
      </w:r>
      <w:proofErr w:type="gramStart"/>
      <w:r w:rsidRPr="00A747FB">
        <w:rPr>
          <w:rFonts w:ascii="Times New Roman" w:hAnsi="Times New Roman" w:cs="ArialMT"/>
          <w:sz w:val="24"/>
          <w:lang w:eastAsia="en-GB"/>
        </w:rPr>
        <w:t>that</w:t>
      </w:r>
      <w:proofErr w:type="gramEnd"/>
      <w:r w:rsidRPr="00A747FB">
        <w:rPr>
          <w:rFonts w:ascii="Times New Roman" w:hAnsi="Times New Roman" w:cs="ArialMT"/>
          <w:sz w:val="24"/>
          <w:lang w:eastAsia="en-GB"/>
        </w:rPr>
        <w:t xml:space="preserve"> a decision on the Bill’s future will not be made for many months, if not years. </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 xml:space="preserve">And the decision will be ‘No Bill’ or, at least, ‘Not This Bill’. </w:t>
      </w:r>
    </w:p>
    <w:p w:rsidR="00A747FB" w:rsidRPr="00A747FB" w:rsidRDefault="00A747FB" w:rsidP="00A747FB">
      <w:pPr>
        <w:spacing w:after="0" w:line="240" w:lineRule="auto"/>
        <w:jc w:val="both"/>
        <w:rPr>
          <w:rFonts w:ascii="Times New Roman" w:hAnsi="Times New Roman" w:cs="ArialMT"/>
          <w:sz w:val="24"/>
        </w:rPr>
      </w:pPr>
      <w:r w:rsidRPr="00A747FB">
        <w:rPr>
          <w:rFonts w:ascii="Times New Roman" w:hAnsi="Times New Roman" w:cs="ArialMT"/>
          <w:sz w:val="24"/>
          <w:lang w:eastAsia="en-GB"/>
        </w:rPr>
        <w:t xml:space="preserve">The body blows landed on the NIO project include, more recently, the statement of condemnation from the Police Federation; the seriously sceptical and well-argued view from former Deputy Chief Constable Alan </w:t>
      </w:r>
      <w:proofErr w:type="spellStart"/>
      <w:r w:rsidRPr="00A747FB">
        <w:rPr>
          <w:rFonts w:ascii="Times New Roman" w:hAnsi="Times New Roman" w:cs="ArialMT"/>
          <w:sz w:val="24"/>
          <w:lang w:eastAsia="en-GB"/>
        </w:rPr>
        <w:t>McQuillan</w:t>
      </w:r>
      <w:proofErr w:type="spellEnd"/>
      <w:r w:rsidRPr="00A747FB">
        <w:rPr>
          <w:rFonts w:ascii="Times New Roman" w:hAnsi="Times New Roman" w:cs="ArialMT"/>
          <w:sz w:val="24"/>
          <w:lang w:eastAsia="en-GB"/>
        </w:rPr>
        <w:t>; and the unique remarks of US General, and former CIA Director, David Petraeus. In a reasoned speech, he said “expansive interpretation” at Strasbourg could limit UK forces’ combat ability and that Britain’s military would be “greatly diminished” if human rights laws cannot be balanced against the law of warfare.</w:t>
      </w:r>
      <w:r w:rsidRPr="00A747FB">
        <w:rPr>
          <w:rFonts w:ascii="Times New Roman" w:hAnsi="Times New Roman" w:cs="ArialMT"/>
          <w:sz w:val="24"/>
        </w:rPr>
        <w:t xml:space="preserve"> </w:t>
      </w:r>
    </w:p>
    <w:p w:rsidR="00A747FB" w:rsidRPr="00A747FB" w:rsidRDefault="00A747FB" w:rsidP="00A747FB">
      <w:pPr>
        <w:spacing w:after="0" w:line="240" w:lineRule="auto"/>
        <w:jc w:val="both"/>
        <w:rPr>
          <w:rFonts w:ascii="Times New Roman" w:hAnsi="Times New Roman" w:cs="ArialMT"/>
          <w:sz w:val="24"/>
        </w:rPr>
      </w:pPr>
      <w:r w:rsidRPr="00A747FB">
        <w:rPr>
          <w:rFonts w:ascii="Times New Roman" w:hAnsi="Times New Roman" w:cs="ArialMT"/>
          <w:sz w:val="24"/>
        </w:rPr>
        <w:t>Such voices are being heard, often for the first time, and the monopoly of the rights industry on Strasbourg interpretation is only now being challenged and alternatives offered.</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The numerous and varied writers in the News Letter’s</w:t>
      </w:r>
      <w:r w:rsidRPr="00A747FB">
        <w:rPr>
          <w:rFonts w:ascii="Times New Roman" w:hAnsi="Times New Roman" w:cs="ArialMT"/>
          <w:i/>
          <w:sz w:val="24"/>
          <w:lang w:eastAsia="en-GB"/>
        </w:rPr>
        <w:t xml:space="preserve"> </w:t>
      </w:r>
      <w:r w:rsidRPr="00A747FB">
        <w:rPr>
          <w:rFonts w:ascii="Times New Roman" w:hAnsi="Times New Roman" w:cs="ArialMT"/>
          <w:sz w:val="24"/>
          <w:lang w:eastAsia="en-GB"/>
        </w:rPr>
        <w:t>series</w:t>
      </w:r>
      <w:r w:rsidRPr="00A747FB">
        <w:rPr>
          <w:rFonts w:ascii="Times New Roman" w:hAnsi="Times New Roman" w:cs="ArialMT"/>
          <w:i/>
          <w:sz w:val="24"/>
          <w:lang w:eastAsia="en-GB"/>
        </w:rPr>
        <w:t xml:space="preserve"> Stop the Legacy Scandal </w:t>
      </w:r>
      <w:r w:rsidRPr="00A747FB">
        <w:rPr>
          <w:rFonts w:ascii="Times New Roman" w:hAnsi="Times New Roman" w:cs="ArialMT"/>
          <w:sz w:val="24"/>
          <w:lang w:eastAsia="en-GB"/>
        </w:rPr>
        <w:t>have accentuated the pressure, making it ever plainer that the Bill has no supporters outside Sinn Fein and the Alliance Party other than government trusties, alongside NGOs, certain law firms and the universities.</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 xml:space="preserve">The current proposals are now very much yesterday. Many, most notably SEFF and the alternative academics and lawyers from the Malone House Group, have subjected them to hard legal and political analysis for nearly a year. I edited the conclusions of the Malone House conference in March in the book </w:t>
      </w:r>
      <w:r w:rsidRPr="00A747FB">
        <w:rPr>
          <w:rFonts w:ascii="Times New Roman" w:hAnsi="Times New Roman" w:cs="ArialMT"/>
          <w:i/>
          <w:sz w:val="24"/>
          <w:lang w:eastAsia="en-GB"/>
        </w:rPr>
        <w:t>Legacy: What to do about the Past in Northern Ireland?</w:t>
      </w:r>
      <w:r w:rsidRPr="00A747FB">
        <w:rPr>
          <w:rFonts w:ascii="Times New Roman" w:hAnsi="Times New Roman" w:cs="ArialMT"/>
          <w:sz w:val="24"/>
          <w:lang w:eastAsia="en-GB"/>
        </w:rPr>
        <w:t xml:space="preserve"> It was launched at the House of Commons in July and is available on Amazon.</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 xml:space="preserve">Our view, then and now, is that the proposed Bill should be abandoned, not least because of the huge cost and time involved. A conservative estimate is 15 years and £500 million, something no longer denied by officials. That is three times the NIO’s fake figures of five years and £150 million, and all to no significant value in terms of justice or closure for victims. </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There are so many ways to bring about a better, quicker and cheaper result although justice, a very imprecise concept, can never be satisfactorily obtained for the majority of victims, and, in truth, never is.</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 xml:space="preserve">The NIO’s whip hand over Downing Street on matters Legacy is visibly withering, what with the torrent of opposition to the proposals locally, and the huge pressure at Westminster from army veteran MPs over a statute of limitations. Never before have so many on the mainland taken a stand on a Northern Ireland issue. The GB voices speaking out are indeed unique in Troubles history. The usual indifference and incomprehension in unhistorically minded Britain has dissipated. Where the ‘Troops </w:t>
      </w:r>
      <w:proofErr w:type="gramStart"/>
      <w:r w:rsidRPr="00A747FB">
        <w:rPr>
          <w:rFonts w:ascii="Times New Roman" w:hAnsi="Times New Roman" w:cs="ArialMT"/>
          <w:sz w:val="24"/>
          <w:lang w:eastAsia="en-GB"/>
        </w:rPr>
        <w:t>Out</w:t>
      </w:r>
      <w:proofErr w:type="gramEnd"/>
      <w:r w:rsidRPr="00A747FB">
        <w:rPr>
          <w:rFonts w:ascii="Times New Roman" w:hAnsi="Times New Roman" w:cs="ArialMT"/>
          <w:sz w:val="24"/>
          <w:lang w:eastAsia="en-GB"/>
        </w:rPr>
        <w:t xml:space="preserve"> Movement’ got no significant purchase on the public mind, this issue has managed to. </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rPr>
        <w:lastRenderedPageBreak/>
        <w:t xml:space="preserve">Most recently, the unprecedented intervention (ably assisted by Danny Kinahan) from 150 Conservative MPs and peers in a letter to the PM against the Historical Investigations Unit (HIU), has to be a death blow to that proposed body. </w:t>
      </w:r>
      <w:r w:rsidRPr="00A747FB">
        <w:rPr>
          <w:rFonts w:ascii="Times New Roman" w:hAnsi="Times New Roman" w:cs="ArialMT"/>
          <w:sz w:val="24"/>
          <w:lang w:eastAsia="en-GB"/>
        </w:rPr>
        <w:t xml:space="preserve">Mrs May will not easily resist these calls, even if her only concession to date is a Ministry of Defence committee to look into the matter. </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It did not help that the NIO deleted any reference to a statute of limitations from their consultation to appease Sinn Fein, along with any proposal for compensation for the seriously injured!</w:t>
      </w:r>
      <w:r w:rsidRPr="00A747FB">
        <w:rPr>
          <w:rFonts w:ascii="Times New Roman" w:hAnsi="Times New Roman" w:cs="ArialMT"/>
          <w:sz w:val="24"/>
        </w:rPr>
        <w:t xml:space="preserve"> The document feebly states,</w:t>
      </w:r>
      <w:r w:rsidRPr="00A747FB">
        <w:rPr>
          <w:rFonts w:ascii="Times New Roman" w:hAnsi="Times New Roman" w:cs="ArialMT"/>
          <w:sz w:val="24"/>
          <w:lang w:eastAsia="en-GB"/>
        </w:rPr>
        <w:t xml:space="preserve"> “</w:t>
      </w:r>
      <w:proofErr w:type="gramStart"/>
      <w:r w:rsidRPr="00A747FB">
        <w:rPr>
          <w:rFonts w:ascii="Times New Roman" w:hAnsi="Times New Roman" w:cs="ArialMT"/>
          <w:sz w:val="24"/>
          <w:lang w:eastAsia="en-GB"/>
        </w:rPr>
        <w:t>the</w:t>
      </w:r>
      <w:proofErr w:type="gramEnd"/>
      <w:r w:rsidRPr="00A747FB">
        <w:rPr>
          <w:rFonts w:ascii="Times New Roman" w:hAnsi="Times New Roman" w:cs="ArialMT"/>
          <w:sz w:val="24"/>
          <w:lang w:eastAsia="en-GB"/>
        </w:rPr>
        <w:t xml:space="preserve"> proposal for a pension for severely physically injured victims in Northern Ireland” was not addressed as it was a matter for the (defunct) Northern Ireland Assembly. A statute of limitations could easily be legislated, perhaps in a very limited way. It would quite properly be subject in time to legal challenge as is everything here.</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 xml:space="preserve">The money saved from abandoning the alphabet soup of new institutions </w:t>
      </w:r>
      <w:r w:rsidRPr="00A747FB">
        <w:rPr>
          <w:rFonts w:ascii="Times New Roman" w:eastAsia="Times New Roman" w:hAnsi="Times New Roman" w:cs="Times New Roman"/>
          <w:sz w:val="24"/>
        </w:rPr>
        <w:t>–</w:t>
      </w:r>
      <w:r w:rsidRPr="00A747FB">
        <w:rPr>
          <w:rFonts w:ascii="Times New Roman" w:hAnsi="Times New Roman" w:cs="ArialMT"/>
          <w:sz w:val="24"/>
          <w:lang w:eastAsia="en-GB"/>
        </w:rPr>
        <w:t xml:space="preserve"> HIU, ICIR, OHA, and IRG, will be enormous and would more than pay generous compensation to those victims who were previously provided with derisory amounts, certainly compared to the most recent Bloody Sunday victims’ pay-outs by the MOD.</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 xml:space="preserve">One has to trace the ancestry of the Legacy proposals to understand them. They emerged in the Stormont House Agreement (SHA), which was in truth an agreement only between the DUP and Sinn Fein. SHA came a year after the Haass Report of December 2013, and there was little difference where Legacy was concerned. But Haass was decisively rejected by Peter Robinson (and indeed the Alliance Party). </w:t>
      </w:r>
    </w:p>
    <w:p w:rsidR="00A747FB" w:rsidRPr="00A747FB" w:rsidRDefault="00A747FB" w:rsidP="00A747FB">
      <w:pPr>
        <w:spacing w:after="0" w:line="240" w:lineRule="auto"/>
        <w:jc w:val="both"/>
        <w:rPr>
          <w:rFonts w:ascii="Times New Roman" w:hAnsi="Times New Roman" w:cs="ArialMT"/>
          <w:sz w:val="24"/>
        </w:rPr>
      </w:pPr>
      <w:r w:rsidRPr="00A747FB">
        <w:rPr>
          <w:rFonts w:ascii="Times New Roman" w:hAnsi="Times New Roman" w:cs="ArialMT"/>
          <w:sz w:val="24"/>
          <w:lang w:eastAsia="en-GB"/>
        </w:rPr>
        <w:t>In</w:t>
      </w:r>
      <w:r w:rsidRPr="00A747FB">
        <w:rPr>
          <w:rFonts w:ascii="Times New Roman" w:hAnsi="Times New Roman" w:cs="ArialMT"/>
          <w:sz w:val="24"/>
        </w:rPr>
        <w:t xml:space="preserve"> December 2014, he said of SHA it is “as much as and more than we have ever been able to do on these issues in the past. So it is a very significant agreement.” Yet on Legacy, it had all the failings of Haass and no improvements, as I know having been a delegate at the talks.</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Close inspection suggests it was only a tactical move by Robinson in that he didn’t want the American to achieve a deal which was not part of a SF/DUP arrangement he could broker to advance power-sharing devolution. The Legacy contents were unimportant to him and thus agreed with cursory inspection.</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This explains how the grotesque HIU came to be accepted by the DUP. The concept of a parallel police force of the past with powers to track down and arraign retired police officers (but nobody else) for non-criminal ‘misconduct’ grew unchecked out of earlier Police Ombudsman’s proposals. That was part of the Police Ombudsman mission creep effected by Nuala O’Loan and endorsed by David Ford when Minister of Justice. Context was never considered or taken into account when so many of these cases were reinvestigated. Only with the recent Loughinisland judicial review has there been any fightback against improper overuse of Police Ombudsman powers.</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 xml:space="preserve">The political parties’ responses to the Bill proposals can now be reviewed, in particular that from the DUP which endorses HIU saying, “The DUP considers the best opportunity for justice to come from an investigatory team with full police powers.” They then quote Article 2 (the right to life) of the European Convention on Human Rights (ECHR) as a reason why: “It is inappropriate for the PSNI to investigate” certain cases, adding, “These realities cannot simply be dismissed”. </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 xml:space="preserve">Article 2 </w:t>
      </w:r>
      <w:proofErr w:type="gramStart"/>
      <w:r w:rsidRPr="00A747FB">
        <w:rPr>
          <w:rFonts w:ascii="Times New Roman" w:hAnsi="Times New Roman" w:cs="ArialMT"/>
          <w:sz w:val="24"/>
          <w:lang w:eastAsia="en-GB"/>
        </w:rPr>
        <w:t>interpretation</w:t>
      </w:r>
      <w:proofErr w:type="gramEnd"/>
      <w:r w:rsidRPr="00A747FB">
        <w:rPr>
          <w:rFonts w:ascii="Times New Roman" w:hAnsi="Times New Roman" w:cs="ArialMT"/>
          <w:sz w:val="24"/>
          <w:lang w:eastAsia="en-GB"/>
        </w:rPr>
        <w:t xml:space="preserve">, on the duty to undertake effective investigation of deaths and its related Strasbourg jurisprudence, is repeatedly quoted by the DUP and Alliance as making certain things necessary or impossible. That is not so in most cases. </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 xml:space="preserve">Indeed the UK Supreme Court position remains that Article 2 does not apply in the UK before 2 October 2000. Our senior courts, under the Human Rights Act 1998, have upheld the </w:t>
      </w:r>
      <w:proofErr w:type="spellStart"/>
      <w:r w:rsidRPr="00A747FB">
        <w:rPr>
          <w:rFonts w:ascii="Times New Roman" w:hAnsi="Times New Roman" w:cs="ArialMT"/>
          <w:sz w:val="24"/>
          <w:lang w:eastAsia="en-GB"/>
        </w:rPr>
        <w:t>McKerr</w:t>
      </w:r>
      <w:proofErr w:type="spellEnd"/>
      <w:r w:rsidRPr="00A747FB">
        <w:rPr>
          <w:rFonts w:ascii="Times New Roman" w:hAnsi="Times New Roman" w:cs="ArialMT"/>
          <w:sz w:val="24"/>
          <w:lang w:eastAsia="en-GB"/>
        </w:rPr>
        <w:t xml:space="preserve"> case judgement that there is no investigation obligation to deal with deaths which occurred before that 2000 date. Whether FO and NIO officials act within the parameter of that judgement is a question worth inspecting. A related aspect is whether Strasbourg has </w:t>
      </w:r>
      <w:r w:rsidRPr="00A747FB">
        <w:rPr>
          <w:rFonts w:ascii="Times New Roman" w:hAnsi="Times New Roman" w:cs="ArialMT"/>
          <w:sz w:val="24"/>
          <w:lang w:eastAsia="en-GB"/>
        </w:rPr>
        <w:lastRenderedPageBreak/>
        <w:t>precedence over our Supreme Court. That is not the case but in the gold-plating world of officialdom, and in the lower courts in Belfast, they see things differently.</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 xml:space="preserve">Later the DUP document states (p. 9), “We have expressed concerns previously at the Police Ombudsman’s involvement in legacy cases, and support an HIU fully taking over the role of the Police Ombudsman (PONI)”. This amazing remark reveals the party does not grasp that it is proposed to give HIU greater powers than PONI currently has, powers misused already. Indeed the talk is that the current Police Ombudsman will become the new head of HIU, even in advance of its creation. </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 xml:space="preserve">Later the DUP does make the muted remark that “Investigations into retired officers should be for criminal behaviour [as] it would be an overhaul of established practice for civilians to be pursued for alleged disciplinary matters as public servants”. </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On the Independent Commission for Information Retrieval (ICIR) the DUP writes (p. 12), “We remain to be convinced that the various terrorist organisations will cooperate in a meaningful way to provide detailed and truthful information about why individuals were targeted for murder”. I am afraid I can provide that information now without an ICIR: They died because they were in the Army, UDR or Police and, in the case of loyalist killings, because they were Catholics. The DUP adds lamely they “did not request this type of mechanism” and says (p. 14) of the proposals that “we will monitor their implementation closely to ensure fairness and impartiality”.</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 xml:space="preserve">In relation to the so-called Implementation and Reconciliation Group (IRG) the party suggests (p. 14) it “shouldn’t be expensive” although “we remain to be convinced of its value”. </w:t>
      </w:r>
      <w:proofErr w:type="gramStart"/>
      <w:r w:rsidRPr="00A747FB">
        <w:rPr>
          <w:rFonts w:ascii="Times New Roman" w:hAnsi="Times New Roman" w:cs="ArialMT"/>
          <w:sz w:val="24"/>
          <w:lang w:eastAsia="en-GB"/>
        </w:rPr>
        <w:t>However they agreed to the IRG, despite it being relentlessly proposed in Haass by the SDLP who sought successfully to get ‘patterns and themes’, such as collusion, into the new structures.</w:t>
      </w:r>
      <w:proofErr w:type="gramEnd"/>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 xml:space="preserve">As a biographer of Roger Casement, I am dubious of oral history knowing just how different memories and the recall of events can be to earlier documentary evidence. The difference is often innocent but the Oral History Archive (OHA) is a vehicle for deceit and political obfuscation. The UUP long favoured the past being examined by historians but not in the stunted form proposed where “patterns and themes” such as collusion will become the major purpose of OHA researchers, despite or perhaps because of the IRG supervising. </w:t>
      </w:r>
    </w:p>
    <w:p w:rsidR="00A747FB" w:rsidRPr="00A747FB" w:rsidRDefault="00A747FB" w:rsidP="00A747FB">
      <w:pPr>
        <w:spacing w:after="0" w:line="240" w:lineRule="auto"/>
        <w:jc w:val="both"/>
        <w:rPr>
          <w:rFonts w:ascii="Times New Roman" w:hAnsi="Times New Roman" w:cs="ArialMT"/>
          <w:sz w:val="24"/>
        </w:rPr>
      </w:pPr>
      <w:r w:rsidRPr="00A747FB">
        <w:rPr>
          <w:rFonts w:ascii="Times New Roman" w:hAnsi="Times New Roman" w:cs="ArialMT"/>
          <w:sz w:val="24"/>
        </w:rPr>
        <w:t xml:space="preserve">The past must not be our future but the Bill ensures it will, as it develops ever more novel institutions which themselves will be subject early to judicial reviews and the whole gamut of legal challenge. The current alternatives are inquests and Strasbourg ‘Article 2 compliance’ cases, not to mention judicial reviews and civil suits, all of which will proceed before, alongside and after these proposed new bodies. </w:t>
      </w:r>
    </w:p>
    <w:p w:rsidR="00A747FB" w:rsidRPr="00A747FB" w:rsidRDefault="00A747FB" w:rsidP="00A747FB">
      <w:pPr>
        <w:spacing w:after="0" w:line="240" w:lineRule="auto"/>
        <w:jc w:val="both"/>
        <w:rPr>
          <w:rFonts w:ascii="Times New Roman" w:hAnsi="Times New Roman" w:cs="ArialMT"/>
          <w:sz w:val="24"/>
        </w:rPr>
      </w:pPr>
      <w:r w:rsidRPr="00A747FB">
        <w:rPr>
          <w:rFonts w:ascii="Times New Roman" w:hAnsi="Times New Roman" w:cs="ArialMT"/>
          <w:sz w:val="24"/>
        </w:rPr>
        <w:t>If inquests were included in the HIU, as they could be if government had the courage to take on the dominant academics and lawyers, the Bill might be worth considering. But they aren’t nor will they be. Instead every inquest can and will be re-opened, particularly, if all the MI5 and security files are handed over by London and new evidence in the form of allegations of never-defined-collusion can be adduced in their hundreds, sufficient to convince yielding judges in Belfast to give leave for judicial review.</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 xml:space="preserve">Dealing with the past is I suggest one of those problems without a solution </w:t>
      </w:r>
      <w:r w:rsidRPr="00A747FB">
        <w:rPr>
          <w:rFonts w:ascii="Times New Roman" w:eastAsia="Times New Roman" w:hAnsi="Times New Roman" w:cs="Times New Roman"/>
          <w:sz w:val="24"/>
        </w:rPr>
        <w:t>–</w:t>
      </w:r>
      <w:r w:rsidRPr="00A747FB">
        <w:rPr>
          <w:rFonts w:ascii="Times New Roman" w:hAnsi="Times New Roman" w:cs="ArialMT"/>
          <w:sz w:val="24"/>
          <w:lang w:eastAsia="en-GB"/>
        </w:rPr>
        <w:t xml:space="preserve"> like relationships in a fractured family. This is primarily because there is a deep seated bitterness about the past between the two communities. This is unsurprising as the only politics we are permitted revolve around the insoluble ethnic conflict here and the border. Why do we think we can solve this when in other places subjected to civil war there remain long festering problems? </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 xml:space="preserve">Furthermore the problems are multi-faceted. There seems to be a glib assumption among SHA supporters (and most of the media) that the Bill with its four new institutions will </w:t>
      </w:r>
      <w:r w:rsidRPr="00A747FB">
        <w:rPr>
          <w:rFonts w:ascii="Times New Roman" w:hAnsi="Times New Roman" w:cs="ArialMT"/>
          <w:sz w:val="24"/>
          <w:lang w:eastAsia="en-GB"/>
        </w:rPr>
        <w:lastRenderedPageBreak/>
        <w:t xml:space="preserve">simplify and rationalise. But of course it will do no such thing as it would be laid on top of </w:t>
      </w:r>
      <w:r w:rsidRPr="00A747FB">
        <w:rPr>
          <w:rFonts w:ascii="Times New Roman" w:eastAsia="Times New Roman" w:hAnsi="Times New Roman" w:cs="Times New Roman"/>
          <w:sz w:val="24"/>
        </w:rPr>
        <w:t>–</w:t>
      </w:r>
      <w:r w:rsidRPr="00A747FB">
        <w:rPr>
          <w:rFonts w:ascii="Times New Roman" w:hAnsi="Times New Roman" w:cs="ArialMT"/>
          <w:sz w:val="24"/>
          <w:lang w:eastAsia="en-GB"/>
        </w:rPr>
        <w:t xml:space="preserve"> rather than replacing </w:t>
      </w:r>
      <w:r w:rsidRPr="00A747FB">
        <w:rPr>
          <w:rFonts w:ascii="Times New Roman" w:eastAsia="Times New Roman" w:hAnsi="Times New Roman" w:cs="Times New Roman"/>
          <w:sz w:val="24"/>
        </w:rPr>
        <w:t>–</w:t>
      </w:r>
      <w:r w:rsidRPr="00A747FB">
        <w:rPr>
          <w:rFonts w:ascii="Times New Roman" w:hAnsi="Times New Roman" w:cs="ArialMT"/>
          <w:sz w:val="24"/>
          <w:lang w:eastAsia="en-GB"/>
        </w:rPr>
        <w:t xml:space="preserve"> the existing processes.</w:t>
      </w:r>
    </w:p>
    <w:p w:rsidR="00A747FB" w:rsidRPr="00A747FB" w:rsidRDefault="00A747FB" w:rsidP="00A747FB">
      <w:pPr>
        <w:spacing w:after="0" w:line="240" w:lineRule="auto"/>
        <w:jc w:val="both"/>
        <w:rPr>
          <w:rFonts w:ascii="Times New Roman" w:hAnsi="Times New Roman" w:cs="ArialMT"/>
          <w:sz w:val="24"/>
          <w:lang w:eastAsia="en-GB"/>
        </w:rPr>
      </w:pPr>
      <w:r w:rsidRPr="00A747FB">
        <w:rPr>
          <w:rFonts w:ascii="Times New Roman" w:hAnsi="Times New Roman" w:cs="ArialMT"/>
          <w:sz w:val="24"/>
          <w:lang w:eastAsia="en-GB"/>
        </w:rPr>
        <w:t>Government’s first rule should be ‘Do No Harm’. For that reason alone the Bill has to be set aside with the budget instead going to pensions and mental health improvement.</w:t>
      </w:r>
    </w:p>
    <w:p w:rsidR="00A747FB" w:rsidRPr="00A747FB" w:rsidRDefault="00A747FB" w:rsidP="00A747FB">
      <w:pPr>
        <w:spacing w:after="0" w:line="240" w:lineRule="auto"/>
        <w:jc w:val="both"/>
        <w:rPr>
          <w:rFonts w:ascii="Times New Roman" w:hAnsi="Times New Roman" w:cs="ArialMT"/>
          <w:sz w:val="24"/>
          <w:lang w:eastAsia="en-GB"/>
        </w:rPr>
      </w:pPr>
    </w:p>
    <w:p w:rsidR="00A747FB" w:rsidRPr="00A747FB" w:rsidRDefault="00A747FB" w:rsidP="00A747FB">
      <w:pPr>
        <w:spacing w:after="0" w:line="240" w:lineRule="auto"/>
        <w:jc w:val="both"/>
        <w:rPr>
          <w:rFonts w:ascii="Times New Roman" w:hAnsi="Times New Roman" w:cs="Times New Roman"/>
          <w:color w:val="0000FF" w:themeColor="hyperlink"/>
          <w:sz w:val="24"/>
          <w:szCs w:val="24"/>
          <w:u w:val="single"/>
        </w:rPr>
      </w:pPr>
      <w:r w:rsidRPr="00A747FB">
        <w:rPr>
          <w:rFonts w:ascii="Times New Roman" w:hAnsi="Times New Roman" w:cs="ArialMT"/>
          <w:b/>
          <w:sz w:val="24"/>
          <w:lang w:eastAsia="en-GB"/>
        </w:rPr>
        <w:t xml:space="preserve">Jeffrey Dudgeon is a UUP councillor for Balmoral DEA in South Belfast and the author/editor of recently published books on Roger Casement’s Black Diaries, Harford Montgomery Hyde MP, and </w:t>
      </w:r>
      <w:r w:rsidRPr="00A747FB">
        <w:rPr>
          <w:rFonts w:ascii="Times New Roman" w:hAnsi="Times New Roman" w:cs="Times New Roman"/>
          <w:b/>
          <w:i/>
          <w:sz w:val="24"/>
          <w:szCs w:val="24"/>
          <w:lang w:eastAsia="en-GB"/>
        </w:rPr>
        <w:t xml:space="preserve">Legacy: What to do about the Past in Northern Ireland? </w:t>
      </w:r>
      <w:hyperlink r:id="rId7" w:tgtFrame="_blank" w:history="1">
        <w:r w:rsidRPr="00A747FB">
          <w:rPr>
            <w:rFonts w:ascii="Times New Roman" w:hAnsi="Times New Roman" w:cs="Times New Roman"/>
            <w:color w:val="0000FF" w:themeColor="hyperlink"/>
            <w:sz w:val="24"/>
            <w:szCs w:val="24"/>
            <w:u w:val="single"/>
          </w:rPr>
          <w:t>https://amzn.to/2Ef1OgR</w:t>
        </w:r>
      </w:hyperlink>
      <w:r w:rsidRPr="00A747FB">
        <w:rPr>
          <w:rFonts w:ascii="Times New Roman" w:hAnsi="Times New Roman" w:cs="Times New Roman"/>
          <w:color w:val="0000FF" w:themeColor="hyperlink"/>
          <w:sz w:val="24"/>
          <w:szCs w:val="24"/>
          <w:u w:val="single"/>
        </w:rPr>
        <w:t xml:space="preserve">  </w:t>
      </w:r>
    </w:p>
    <w:p w:rsidR="00A747FB" w:rsidRPr="00A747FB" w:rsidRDefault="00A747FB" w:rsidP="00A747FB">
      <w:pPr>
        <w:spacing w:after="0" w:line="240" w:lineRule="auto"/>
        <w:jc w:val="both"/>
        <w:rPr>
          <w:rFonts w:ascii="Times New Roman" w:hAnsi="Times New Roman" w:cs="ArialMT"/>
          <w:b/>
          <w:sz w:val="24"/>
          <w:lang w:eastAsia="en-GB"/>
        </w:rPr>
      </w:pPr>
    </w:p>
    <w:p w:rsidR="00A747FB" w:rsidRPr="00A747FB" w:rsidRDefault="00A747FB" w:rsidP="00A747FB">
      <w:pPr>
        <w:spacing w:after="0" w:line="240" w:lineRule="auto"/>
        <w:jc w:val="both"/>
        <w:rPr>
          <w:rFonts w:ascii="Times New Roman" w:hAnsi="Times New Roman" w:cs="ArialMT"/>
          <w:b/>
          <w:sz w:val="24"/>
          <w:lang w:eastAsia="en-GB"/>
        </w:rPr>
      </w:pPr>
    </w:p>
    <w:p w:rsidR="00A747FB" w:rsidRPr="00A747FB" w:rsidRDefault="00A747FB" w:rsidP="00A747FB">
      <w:pPr>
        <w:spacing w:after="0" w:line="240" w:lineRule="auto"/>
        <w:jc w:val="both"/>
        <w:rPr>
          <w:rFonts w:ascii="Times New Roman" w:hAnsi="Times New Roman" w:cs="ArialMT"/>
          <w:b/>
          <w:sz w:val="24"/>
          <w:lang w:eastAsia="en-GB"/>
        </w:rPr>
      </w:pPr>
      <w:r w:rsidRPr="00A747FB">
        <w:rPr>
          <w:rFonts w:ascii="Times New Roman" w:hAnsi="Times New Roman" w:cs="ArialMT"/>
          <w:b/>
          <w:sz w:val="24"/>
          <w:lang w:eastAsia="en-GB"/>
        </w:rPr>
        <w:t xml:space="preserve">More recent article of 10 July 2019 refers, ‘The Stormont House legacy structures will just double the vast cost of dealing with the past’: </w:t>
      </w:r>
    </w:p>
    <w:p w:rsidR="00A747FB" w:rsidRPr="00A747FB" w:rsidRDefault="00063FE0" w:rsidP="00A747FB">
      <w:pPr>
        <w:rPr>
          <w:rFonts w:ascii="Times New Roman" w:hAnsi="Times New Roman" w:cs="Times New Roman"/>
          <w:sz w:val="24"/>
          <w:szCs w:val="24"/>
        </w:rPr>
      </w:pPr>
      <w:hyperlink r:id="rId8" w:history="1">
        <w:r w:rsidR="00A747FB" w:rsidRPr="00A747FB">
          <w:rPr>
            <w:rFonts w:ascii="Times New Roman" w:hAnsi="Times New Roman" w:cs="Times New Roman"/>
            <w:color w:val="0000FF" w:themeColor="hyperlink"/>
            <w:sz w:val="24"/>
            <w:szCs w:val="24"/>
            <w:u w:val="single"/>
          </w:rPr>
          <w:t>https://www.newsletter.co.uk/news/opinion/jeff-dudgeon-the-stormont-house-legacy-structures-will-just-double-the-vast-cost-of-dealing-with-the-past-1-8993114</w:t>
        </w:r>
      </w:hyperlink>
      <w:r w:rsidR="00A747FB" w:rsidRPr="00A747FB">
        <w:rPr>
          <w:rFonts w:ascii="Times New Roman" w:hAnsi="Times New Roman" w:cs="Times New Roman"/>
          <w:sz w:val="24"/>
          <w:szCs w:val="24"/>
        </w:rPr>
        <w:t xml:space="preserve"> </w:t>
      </w:r>
    </w:p>
    <w:p w:rsidR="00A747FB" w:rsidRPr="00B51FFB" w:rsidRDefault="00B51FFB" w:rsidP="00A747FB">
      <w:pPr>
        <w:jc w:val="both"/>
        <w:rPr>
          <w:rFonts w:ascii="Times New Roman" w:hAnsi="Times New Roman" w:cs="Times New Roman"/>
          <w:b/>
          <w:sz w:val="24"/>
          <w:szCs w:val="24"/>
        </w:rPr>
      </w:pPr>
      <w:bookmarkStart w:id="0" w:name="_GoBack"/>
      <w:r w:rsidRPr="00B51FFB">
        <w:rPr>
          <w:rFonts w:ascii="Times New Roman" w:hAnsi="Times New Roman" w:cs="Times New Roman"/>
          <w:b/>
          <w:sz w:val="24"/>
          <w:szCs w:val="24"/>
        </w:rPr>
        <w:t>Update</w:t>
      </w:r>
    </w:p>
    <w:bookmarkEnd w:id="0"/>
    <w:p w:rsidR="00A747FB" w:rsidRPr="00A747FB" w:rsidRDefault="00A747FB" w:rsidP="00A747FB">
      <w:pPr>
        <w:numPr>
          <w:ilvl w:val="0"/>
          <w:numId w:val="1"/>
        </w:numPr>
        <w:spacing w:after="0" w:line="240" w:lineRule="auto"/>
        <w:jc w:val="both"/>
        <w:outlineLvl w:val="0"/>
        <w:rPr>
          <w:rFonts w:ascii="Times New Roman" w:eastAsia="Times New Roman" w:hAnsi="Times New Roman" w:cs="Times New Roman"/>
          <w:sz w:val="24"/>
          <w:szCs w:val="20"/>
          <w:lang w:eastAsia="en-GB"/>
        </w:rPr>
      </w:pPr>
      <w:r w:rsidRPr="00A747FB">
        <w:rPr>
          <w:rFonts w:ascii="Times New Roman" w:eastAsia="Times New Roman" w:hAnsi="Times New Roman" w:cs="Times New Roman"/>
          <w:sz w:val="24"/>
          <w:szCs w:val="20"/>
          <w:lang w:eastAsia="en-GB"/>
        </w:rPr>
        <w:t xml:space="preserve">Para 16 of Annex 1 to the </w:t>
      </w:r>
      <w:r w:rsidRPr="00A747FB">
        <w:rPr>
          <w:rFonts w:ascii="Times New Roman" w:eastAsia="Times New Roman" w:hAnsi="Times New Roman" w:cs="Times New Roman"/>
          <w:i/>
          <w:sz w:val="24"/>
          <w:szCs w:val="20"/>
          <w:lang w:eastAsia="en-GB"/>
        </w:rPr>
        <w:t xml:space="preserve">New Decade New Approach Deal </w:t>
      </w:r>
      <w:r w:rsidRPr="00A747FB">
        <w:rPr>
          <w:rFonts w:ascii="Times New Roman" w:eastAsia="Times New Roman" w:hAnsi="Times New Roman" w:cs="Times New Roman"/>
          <w:sz w:val="24"/>
          <w:szCs w:val="20"/>
          <w:lang w:eastAsia="en-GB"/>
        </w:rPr>
        <w:t xml:space="preserve">of </w:t>
      </w:r>
      <w:r w:rsidR="0045710D">
        <w:rPr>
          <w:rFonts w:ascii="Times New Roman" w:eastAsia="Times New Roman" w:hAnsi="Times New Roman" w:cs="Times New Roman"/>
          <w:sz w:val="24"/>
          <w:szCs w:val="20"/>
          <w:lang w:eastAsia="en-GB"/>
        </w:rPr>
        <w:t>9</w:t>
      </w:r>
      <w:r>
        <w:rPr>
          <w:rFonts w:ascii="Times New Roman" w:eastAsia="Times New Roman" w:hAnsi="Times New Roman" w:cs="Times New Roman"/>
          <w:sz w:val="24"/>
          <w:szCs w:val="20"/>
          <w:lang w:eastAsia="en-GB"/>
        </w:rPr>
        <w:t xml:space="preserve"> </w:t>
      </w:r>
      <w:r w:rsidRPr="00A747FB">
        <w:rPr>
          <w:rFonts w:ascii="Times New Roman" w:eastAsia="Times New Roman" w:hAnsi="Times New Roman" w:cs="Times New Roman"/>
          <w:sz w:val="24"/>
          <w:szCs w:val="20"/>
          <w:lang w:eastAsia="en-GB"/>
        </w:rPr>
        <w:t>January 2020 commits the Government to introducing legacy legislation in Parliament within 100 days, presumably mid-April:  “As part of the Government’s wider legislative agenda, the Government will, within 100 days, publish and introduce legislation in the UK Parliament to implement the Stormont House Agreement, to address Northern Ireland legacy issues. The Government will now start an intensive process with the Northern Ireland parties, and the Irish Government as appropriate, to maintain a broad-based consensus on these issues, recognising that any UK Parliament legislation should have the consent of the NI Assembly.”</w:t>
      </w:r>
    </w:p>
    <w:p w:rsidR="00A747FB" w:rsidRPr="00A747FB" w:rsidRDefault="00A747FB" w:rsidP="00A747FB">
      <w:pPr>
        <w:spacing w:after="0" w:line="240" w:lineRule="auto"/>
        <w:jc w:val="both"/>
        <w:outlineLvl w:val="0"/>
        <w:rPr>
          <w:rFonts w:ascii="Times New Roman" w:eastAsia="Times New Roman" w:hAnsi="Times New Roman" w:cs="Times New Roman"/>
          <w:sz w:val="24"/>
          <w:szCs w:val="20"/>
          <w:lang w:eastAsia="en-GB"/>
        </w:rPr>
      </w:pPr>
    </w:p>
    <w:p w:rsidR="00A747FB" w:rsidRPr="00A747FB" w:rsidRDefault="00A747FB" w:rsidP="00A747FB">
      <w:pPr>
        <w:numPr>
          <w:ilvl w:val="0"/>
          <w:numId w:val="1"/>
        </w:numPr>
        <w:spacing w:after="0" w:line="240" w:lineRule="auto"/>
        <w:jc w:val="both"/>
        <w:outlineLvl w:val="0"/>
        <w:rPr>
          <w:rFonts w:ascii="Times New Roman" w:eastAsia="Times New Roman" w:hAnsi="Times New Roman" w:cs="Times New Roman"/>
          <w:sz w:val="24"/>
          <w:szCs w:val="20"/>
          <w:lang w:eastAsia="en-GB"/>
        </w:rPr>
      </w:pPr>
      <w:r w:rsidRPr="00A747FB">
        <w:rPr>
          <w:rFonts w:ascii="Times New Roman" w:eastAsia="Times New Roman" w:hAnsi="Times New Roman" w:cs="Times New Roman"/>
          <w:sz w:val="24"/>
          <w:szCs w:val="20"/>
          <w:lang w:eastAsia="en-GB"/>
        </w:rPr>
        <w:t>Sinn Fein Department of Finance Minister Conor Murphy stated on 15 January 2020</w:t>
      </w:r>
      <w:r w:rsidRPr="00A747FB">
        <w:rPr>
          <w:rFonts w:ascii="Times New Roman" w:eastAsia="Times New Roman" w:hAnsi="Times New Roman" w:cs="Times New Roman"/>
          <w:sz w:val="24"/>
          <w:szCs w:val="24"/>
          <w:lang w:eastAsia="en-GB"/>
        </w:rPr>
        <w:t xml:space="preserve"> “</w:t>
      </w:r>
      <w:r w:rsidRPr="00A747FB">
        <w:rPr>
          <w:rFonts w:ascii="Times New Roman" w:eastAsia="Times New Roman" w:hAnsi="Times New Roman" w:cs="Times New Roman"/>
          <w:bCs/>
          <w:sz w:val="24"/>
          <w:szCs w:val="24"/>
          <w:lang w:eastAsia="en-GB"/>
        </w:rPr>
        <w:t>For the legacy institutions, the proposed package adds £100m to the £150m previously committed. This falls at least £50m short of the projected cost of £300-£400m.</w:t>
      </w:r>
    </w:p>
    <w:p w:rsidR="00A747FB" w:rsidRPr="00A747FB" w:rsidRDefault="00A747FB" w:rsidP="00A747FB">
      <w:pPr>
        <w:rPr>
          <w:rFonts w:ascii="Times New Roman" w:hAnsi="Times New Roman" w:cs="Times New Roman"/>
          <w:sz w:val="24"/>
          <w:szCs w:val="24"/>
        </w:rPr>
      </w:pPr>
    </w:p>
    <w:p w:rsidR="00CB6357" w:rsidRDefault="00063FE0"/>
    <w:sectPr w:rsidR="00CB63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94AC6"/>
    <w:multiLevelType w:val="hybridMultilevel"/>
    <w:tmpl w:val="9864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4A"/>
    <w:rsid w:val="00063FE0"/>
    <w:rsid w:val="0007504A"/>
    <w:rsid w:val="0045710D"/>
    <w:rsid w:val="00530087"/>
    <w:rsid w:val="00553DA8"/>
    <w:rsid w:val="00A747FB"/>
    <w:rsid w:val="00B51FFB"/>
    <w:rsid w:val="00E8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letter.co.uk/news/opinion/jeff-dudgeon-the-stormont-house-legacy-structures-will-just-double-the-vast-cost-of-dealing-with-the-past-1-8993114" TargetMode="External"/><Relationship Id="rId3" Type="http://schemas.microsoft.com/office/2007/relationships/stylesWithEffects" Target="stylesWithEffects.xml"/><Relationship Id="rId7" Type="http://schemas.openxmlformats.org/officeDocument/2006/relationships/hyperlink" Target="https://amzn.to/2Ef1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dup.com/images/uploads/publications/DUP_Response_to_NIO_Legacy_Consultation.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2014</Words>
  <Characters>11482</Characters>
  <Application>Microsoft Office Word</Application>
  <DocSecurity>0</DocSecurity>
  <Lines>95</Lines>
  <Paragraphs>26</Paragraphs>
  <ScaleCrop>false</ScaleCrop>
  <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2</cp:revision>
  <dcterms:created xsi:type="dcterms:W3CDTF">2020-01-31T08:29:00Z</dcterms:created>
  <dcterms:modified xsi:type="dcterms:W3CDTF">2020-01-31T08:29:00Z</dcterms:modified>
</cp:coreProperties>
</file>